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7D" w:rsidRPr="00F229C7" w:rsidRDefault="00AD687D" w:rsidP="00AD687D">
      <w:pPr>
        <w:pStyle w:val="WW-BodyTextIndent2"/>
        <w:ind w:left="0" w:firstLine="0"/>
        <w:jc w:val="center"/>
        <w:rPr>
          <w:b/>
          <w:bCs/>
          <w:color w:val="333333"/>
          <w:szCs w:val="24"/>
        </w:rPr>
      </w:pPr>
      <w:r w:rsidRPr="00412493">
        <w:rPr>
          <w:b/>
          <w:bCs/>
          <w:color w:val="333333"/>
          <w:szCs w:val="24"/>
        </w:rPr>
        <w:t>ТЕЦ “МАРИЦА 3“ АД</w:t>
      </w:r>
      <w:r w:rsidR="00F229C7">
        <w:rPr>
          <w:b/>
          <w:bCs/>
          <w:color w:val="333333"/>
          <w:szCs w:val="24"/>
          <w:lang w:val="en-US"/>
        </w:rPr>
        <w:t>-</w:t>
      </w:r>
      <w:r w:rsidR="00F229C7">
        <w:rPr>
          <w:b/>
          <w:bCs/>
          <w:color w:val="333333"/>
          <w:szCs w:val="24"/>
        </w:rPr>
        <w:t>КОНСОЛИДИРАН ОТЧЕТ</w:t>
      </w:r>
    </w:p>
    <w:p w:rsidR="00AD687D" w:rsidRPr="00412493" w:rsidRDefault="00AD687D" w:rsidP="00AD687D">
      <w:pPr>
        <w:pStyle w:val="WW-BodyTextIndent2"/>
        <w:ind w:left="0" w:firstLine="0"/>
        <w:jc w:val="center"/>
        <w:rPr>
          <w:b/>
          <w:bCs/>
          <w:color w:val="333333"/>
          <w:szCs w:val="24"/>
        </w:rPr>
      </w:pPr>
      <w:r w:rsidRPr="00412493">
        <w:rPr>
          <w:b/>
          <w:bCs/>
          <w:color w:val="333333"/>
          <w:szCs w:val="24"/>
        </w:rPr>
        <w:t xml:space="preserve">    </w:t>
      </w:r>
    </w:p>
    <w:p w:rsidR="00AD687D" w:rsidRPr="00412493" w:rsidRDefault="00AD687D" w:rsidP="00AD687D">
      <w:pPr>
        <w:pStyle w:val="WW-BodyTextIndent2"/>
        <w:ind w:left="0" w:firstLine="0"/>
        <w:jc w:val="center"/>
        <w:rPr>
          <w:b/>
          <w:bCs/>
          <w:color w:val="333333"/>
          <w:szCs w:val="24"/>
        </w:rPr>
      </w:pPr>
      <w:r w:rsidRPr="00412493">
        <w:rPr>
          <w:b/>
          <w:bCs/>
          <w:color w:val="333333"/>
          <w:szCs w:val="24"/>
        </w:rPr>
        <w:t>ПОЯСНИТЕЛНИ БЕЛЕЖКИ</w:t>
      </w:r>
    </w:p>
    <w:p w:rsidR="00AD687D" w:rsidRPr="00412493" w:rsidRDefault="00AD687D" w:rsidP="00AD687D">
      <w:pPr>
        <w:pStyle w:val="WW-BodyTextIndent2"/>
        <w:jc w:val="center"/>
        <w:rPr>
          <w:b/>
          <w:bCs/>
          <w:color w:val="333333"/>
          <w:szCs w:val="24"/>
        </w:rPr>
      </w:pPr>
    </w:p>
    <w:p w:rsidR="00AD687D" w:rsidRPr="00412493" w:rsidRDefault="00AD687D" w:rsidP="00AD687D">
      <w:pPr>
        <w:pStyle w:val="WW-BodyTextIndent2"/>
        <w:ind w:left="0" w:firstLine="0"/>
        <w:jc w:val="center"/>
        <w:rPr>
          <w:b/>
          <w:bCs/>
          <w:color w:val="333333"/>
          <w:szCs w:val="24"/>
        </w:rPr>
      </w:pPr>
      <w:r w:rsidRPr="00412493">
        <w:rPr>
          <w:b/>
          <w:bCs/>
          <w:color w:val="333333"/>
          <w:szCs w:val="24"/>
        </w:rPr>
        <w:t>към 31.12.2021 г.,</w:t>
      </w:r>
    </w:p>
    <w:p w:rsidR="00AD687D" w:rsidRPr="00412493" w:rsidRDefault="00AD687D" w:rsidP="00AD687D">
      <w:pPr>
        <w:pStyle w:val="WW-BodyTextIndent2"/>
        <w:jc w:val="center"/>
        <w:rPr>
          <w:b/>
          <w:bCs/>
          <w:color w:val="333333"/>
          <w:szCs w:val="24"/>
        </w:rPr>
      </w:pPr>
    </w:p>
    <w:p w:rsidR="00AD687D" w:rsidRPr="00412493" w:rsidRDefault="00AD687D" w:rsidP="00AD687D">
      <w:pPr>
        <w:spacing w:after="120"/>
        <w:jc w:val="center"/>
        <w:rPr>
          <w:b/>
        </w:rPr>
      </w:pPr>
      <w:r w:rsidRPr="00412493">
        <w:rPr>
          <w:b/>
        </w:rPr>
        <w:t>съгласно чл. 100о</w:t>
      </w:r>
      <w:r w:rsidRPr="00412493">
        <w:rPr>
          <w:b/>
          <w:vertAlign w:val="superscript"/>
        </w:rPr>
        <w:t>1</w:t>
      </w:r>
      <w:r w:rsidRPr="00412493">
        <w:rPr>
          <w:b/>
        </w:rPr>
        <w:t>, ал. 1 във връзка с чл. 100о</w:t>
      </w:r>
      <w:r w:rsidRPr="00412493">
        <w:rPr>
          <w:b/>
          <w:vertAlign w:val="superscript"/>
        </w:rPr>
        <w:t xml:space="preserve">1 </w:t>
      </w:r>
      <w:r w:rsidRPr="00412493">
        <w:rPr>
          <w:b/>
        </w:rPr>
        <w:t>,</w:t>
      </w:r>
      <w:r w:rsidRPr="00412493">
        <w:rPr>
          <w:b/>
          <w:vertAlign w:val="superscript"/>
        </w:rPr>
        <w:t xml:space="preserve">  </w:t>
      </w:r>
      <w:r w:rsidRPr="00412493">
        <w:rPr>
          <w:b/>
        </w:rPr>
        <w:t xml:space="preserve">ал. 4, т. 2 и ал. 5, от ЗППЦК и чл. 14 от Наредба № 2 за първоначално и </w:t>
      </w:r>
      <w:proofErr w:type="spellStart"/>
      <w:r w:rsidRPr="00412493">
        <w:rPr>
          <w:b/>
        </w:rPr>
        <w:t>последващо</w:t>
      </w:r>
      <w:proofErr w:type="spellEnd"/>
      <w:r w:rsidRPr="00412493">
        <w:rPr>
          <w:b/>
        </w:rPr>
        <w:t xml:space="preserve"> разкриване на информация при публично предлагане на ценни книжа и допускане на ценни книжа до търговия на регулиран пазар</w:t>
      </w:r>
    </w:p>
    <w:p w:rsidR="00AD687D" w:rsidRPr="00412493" w:rsidRDefault="00AD687D" w:rsidP="00AD687D">
      <w:pPr>
        <w:pStyle w:val="WW-BodyTextIndent2"/>
        <w:ind w:left="0" w:firstLine="0"/>
        <w:jc w:val="center"/>
        <w:rPr>
          <w:b/>
          <w:szCs w:val="24"/>
        </w:rPr>
      </w:pPr>
    </w:p>
    <w:p w:rsidR="00AD687D" w:rsidRPr="005444E9" w:rsidRDefault="00AD687D" w:rsidP="005444E9">
      <w:pPr>
        <w:keepNext/>
        <w:numPr>
          <w:ilvl w:val="0"/>
          <w:numId w:val="10"/>
        </w:numPr>
        <w:spacing w:line="360" w:lineRule="auto"/>
        <w:ind w:right="74"/>
        <w:jc w:val="both"/>
        <w:rPr>
          <w:b/>
          <w:sz w:val="22"/>
          <w:szCs w:val="22"/>
          <w:u w:val="single"/>
        </w:rPr>
      </w:pPr>
      <w:r w:rsidRPr="005444E9">
        <w:rPr>
          <w:b/>
          <w:sz w:val="22"/>
          <w:szCs w:val="22"/>
          <w:u w:val="single"/>
        </w:rPr>
        <w:t>ВАЖНИ СЪБИТИЯ, НАСТЪПИЛИ ПРЕЗ ПЕРИОДА 01.</w:t>
      </w:r>
      <w:proofErr w:type="spellStart"/>
      <w:r w:rsidRPr="005444E9">
        <w:rPr>
          <w:b/>
          <w:sz w:val="22"/>
          <w:szCs w:val="22"/>
          <w:u w:val="single"/>
        </w:rPr>
        <w:t>01</w:t>
      </w:r>
      <w:proofErr w:type="spellEnd"/>
      <w:r w:rsidRPr="005444E9">
        <w:rPr>
          <w:b/>
          <w:sz w:val="22"/>
          <w:szCs w:val="22"/>
          <w:u w:val="single"/>
        </w:rPr>
        <w:t>.2021 г. – 31.12.2021 г.</w:t>
      </w:r>
    </w:p>
    <w:p w:rsidR="00AD687D" w:rsidRPr="005444E9" w:rsidRDefault="00AD687D" w:rsidP="005444E9">
      <w:pPr>
        <w:keepNext/>
        <w:spacing w:line="360" w:lineRule="auto"/>
        <w:ind w:right="74"/>
        <w:jc w:val="both"/>
        <w:rPr>
          <w:b/>
          <w:sz w:val="22"/>
          <w:szCs w:val="22"/>
          <w:u w:val="single"/>
        </w:rPr>
      </w:pPr>
    </w:p>
    <w:p w:rsidR="00AD687D" w:rsidRPr="005444E9" w:rsidRDefault="00AD687D" w:rsidP="005444E9">
      <w:pPr>
        <w:pStyle w:val="WW-BodyTextIndent2"/>
        <w:spacing w:line="360" w:lineRule="auto"/>
        <w:ind w:left="0" w:firstLine="0"/>
        <w:jc w:val="both"/>
        <w:rPr>
          <w:rFonts w:eastAsia="Calibri"/>
          <w:color w:val="0070C0"/>
          <w:sz w:val="22"/>
          <w:szCs w:val="22"/>
          <w:lang w:eastAsia="en-US"/>
        </w:rPr>
      </w:pPr>
      <w:r w:rsidRPr="005444E9">
        <w:rPr>
          <w:rFonts w:eastAsia="Calibri"/>
          <w:sz w:val="22"/>
          <w:szCs w:val="22"/>
          <w:lang w:eastAsia="en-US"/>
        </w:rPr>
        <w:t>През периода 01.</w:t>
      </w:r>
      <w:proofErr w:type="spellStart"/>
      <w:r w:rsidRPr="005444E9">
        <w:rPr>
          <w:rFonts w:eastAsia="Calibri"/>
          <w:sz w:val="22"/>
          <w:szCs w:val="22"/>
          <w:lang w:eastAsia="en-US"/>
        </w:rPr>
        <w:t>01</w:t>
      </w:r>
      <w:proofErr w:type="spellEnd"/>
      <w:r w:rsidRPr="005444E9">
        <w:rPr>
          <w:rFonts w:eastAsia="Calibri"/>
          <w:sz w:val="22"/>
          <w:szCs w:val="22"/>
          <w:lang w:eastAsia="en-US"/>
        </w:rPr>
        <w:t xml:space="preserve">.2021 г. – 31.12.2021 г., </w:t>
      </w:r>
      <w:r w:rsidRPr="005444E9">
        <w:rPr>
          <w:bCs/>
          <w:sz w:val="22"/>
          <w:szCs w:val="22"/>
        </w:rPr>
        <w:t xml:space="preserve">ТЕЦ “МАРИЦА 3“ АД е оповестило следната информация относно важни събития, настъпили през отчетния период </w:t>
      </w:r>
      <w:r w:rsidRPr="005444E9">
        <w:rPr>
          <w:rFonts w:eastAsia="Calibri"/>
          <w:sz w:val="22"/>
          <w:szCs w:val="22"/>
          <w:lang w:eastAsia="en-US"/>
        </w:rPr>
        <w:t xml:space="preserve">до КФН, БФБ АД и обществеността чрез информационната платформа x3news, достъпна на адрес - </w:t>
      </w:r>
      <w:hyperlink r:id="rId6" w:history="1">
        <w:r w:rsidRPr="005444E9">
          <w:rPr>
            <w:rStyle w:val="a4"/>
            <w:rFonts w:eastAsia="Calibri"/>
            <w:sz w:val="22"/>
            <w:szCs w:val="22"/>
            <w:lang w:eastAsia="en-US"/>
          </w:rPr>
          <w:t>http://www.x3news.com</w:t>
        </w:r>
      </w:hyperlink>
      <w:r w:rsidRPr="005444E9">
        <w:rPr>
          <w:rFonts w:eastAsia="Calibri"/>
          <w:sz w:val="22"/>
          <w:szCs w:val="22"/>
          <w:lang w:eastAsia="en-US"/>
        </w:rPr>
        <w:t xml:space="preserve">, както и на корпоративната страница на дружеството, достъпна на електронен адрес: </w:t>
      </w:r>
      <w:hyperlink r:id="rId7" w:history="1">
        <w:r w:rsidRPr="005444E9">
          <w:rPr>
            <w:rStyle w:val="a4"/>
            <w:rFonts w:eastAsia="Calibri"/>
            <w:sz w:val="22"/>
            <w:szCs w:val="22"/>
            <w:lang w:eastAsia="en-US"/>
          </w:rPr>
          <w:t>https://tec-marica3.com/?act=show_page&amp;category_id=11</w:t>
        </w:r>
      </w:hyperlink>
    </w:p>
    <w:p w:rsidR="00AD687D" w:rsidRPr="005444E9" w:rsidRDefault="00AD687D" w:rsidP="005444E9">
      <w:pPr>
        <w:spacing w:line="360" w:lineRule="auto"/>
        <w:jc w:val="both"/>
        <w:rPr>
          <w:rFonts w:eastAsia="Calibri"/>
          <w:sz w:val="22"/>
          <w:szCs w:val="22"/>
          <w:lang w:eastAsia="en-US"/>
        </w:rPr>
      </w:pPr>
    </w:p>
    <w:p w:rsidR="00AD687D" w:rsidRPr="005444E9" w:rsidRDefault="00AD687D" w:rsidP="005444E9">
      <w:pPr>
        <w:spacing w:line="360" w:lineRule="auto"/>
        <w:jc w:val="both"/>
        <w:rPr>
          <w:rFonts w:eastAsia="Calibri"/>
          <w:sz w:val="22"/>
          <w:szCs w:val="22"/>
          <w:lang w:eastAsia="en-US"/>
        </w:rPr>
      </w:pPr>
      <w:r w:rsidRPr="005444E9">
        <w:rPr>
          <w:rFonts w:eastAsia="Calibri"/>
          <w:sz w:val="22"/>
          <w:szCs w:val="22"/>
          <w:lang w:eastAsia="en-US"/>
        </w:rPr>
        <w:t xml:space="preserve">На </w:t>
      </w:r>
      <w:r w:rsidRPr="005444E9">
        <w:rPr>
          <w:rFonts w:eastAsia="Calibri"/>
          <w:b/>
          <w:bCs/>
          <w:sz w:val="22"/>
          <w:szCs w:val="22"/>
          <w:lang w:eastAsia="en-US"/>
        </w:rPr>
        <w:t>29.01.2021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8" w:history="1">
        <w:r w:rsidRPr="005444E9">
          <w:rPr>
            <w:sz w:val="22"/>
            <w:szCs w:val="22"/>
          </w:rPr>
          <w:t xml:space="preserve"> Тримесечен отчет на </w:t>
        </w:r>
        <w:proofErr w:type="spellStart"/>
        <w:r w:rsidRPr="005444E9">
          <w:rPr>
            <w:sz w:val="22"/>
            <w:szCs w:val="22"/>
          </w:rPr>
          <w:t>емитент</w:t>
        </w:r>
        <w:proofErr w:type="spellEnd"/>
        <w:r w:rsidRPr="005444E9">
          <w:rPr>
            <w:sz w:val="22"/>
            <w:szCs w:val="22"/>
          </w:rPr>
          <w:t xml:space="preserve"> на облигации по чл. 100е, ал. 1, т. 2, във връзка с чл. 100е, ал. 2 от ЗППЦК за спазване на задълженията на </w:t>
        </w:r>
        <w:proofErr w:type="spellStart"/>
        <w:r w:rsidRPr="005444E9">
          <w:rPr>
            <w:sz w:val="22"/>
            <w:szCs w:val="22"/>
          </w:rPr>
          <w:t>емитента</w:t>
        </w:r>
        <w:proofErr w:type="spellEnd"/>
        <w:r w:rsidRPr="005444E9">
          <w:rPr>
            <w:sz w:val="22"/>
            <w:szCs w:val="22"/>
          </w:rPr>
          <w:t xml:space="preserve"> към </w:t>
        </w:r>
        <w:proofErr w:type="spellStart"/>
        <w:r w:rsidRPr="005444E9">
          <w:rPr>
            <w:sz w:val="22"/>
            <w:szCs w:val="22"/>
          </w:rPr>
          <w:t>облигационерите</w:t>
        </w:r>
        <w:proofErr w:type="spellEnd"/>
        <w:r w:rsidRPr="005444E9">
          <w:rPr>
            <w:rFonts w:eastAsia="Calibri"/>
            <w:sz w:val="22"/>
            <w:szCs w:val="22"/>
            <w:lang w:eastAsia="en-US"/>
          </w:rPr>
          <w:t xml:space="preserve"> за четвърто тримесечие на 2020г.</w:t>
        </w:r>
      </w:hyperlink>
    </w:p>
    <w:p w:rsidR="00395D9C"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29.01.2021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9" w:history="1">
        <w:r w:rsidRPr="005444E9">
          <w:rPr>
            <w:sz w:val="22"/>
            <w:szCs w:val="22"/>
          </w:rPr>
          <w:t xml:space="preserve"> Тримесечен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w:t>
        </w:r>
        <w:r w:rsidRPr="005444E9">
          <w:rPr>
            <w:sz w:val="22"/>
            <w:szCs w:val="22"/>
            <w:lang w:val="en-US"/>
          </w:rPr>
          <w:t xml:space="preserve"> </w:t>
        </w:r>
        <w:r w:rsidRPr="005444E9">
          <w:rPr>
            <w:sz w:val="22"/>
            <w:szCs w:val="22"/>
          </w:rPr>
          <w:t>за четвърто тримесечие на 2020г.</w:t>
        </w:r>
      </w:hyperlink>
    </w:p>
    <w:p w:rsidR="00395D9C"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val="en-US" w:eastAsia="en-US"/>
        </w:rPr>
        <w:t>11.02</w:t>
      </w:r>
      <w:r w:rsidRPr="005444E9">
        <w:rPr>
          <w:rFonts w:eastAsia="Calibri"/>
          <w:b/>
          <w:bCs/>
          <w:sz w:val="22"/>
          <w:szCs w:val="22"/>
          <w:lang w:eastAsia="en-US"/>
        </w:rPr>
        <w:t>.2021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0" w:history="1">
        <w:r w:rsidRPr="005444E9">
          <w:rPr>
            <w:sz w:val="22"/>
            <w:szCs w:val="22"/>
          </w:rPr>
          <w:t xml:space="preserve"> Покана за свикване на общо събрание на акционерите и материали за общо събрание на акционерите</w:t>
        </w:r>
      </w:hyperlink>
      <w:r w:rsidRPr="005444E9">
        <w:rPr>
          <w:sz w:val="22"/>
          <w:szCs w:val="22"/>
        </w:rPr>
        <w:t>.</w:t>
      </w:r>
    </w:p>
    <w:p w:rsidR="00AD687D"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val="en-US" w:eastAsia="en-US"/>
        </w:rPr>
        <w:t>1</w:t>
      </w:r>
      <w:r w:rsidRPr="005444E9">
        <w:rPr>
          <w:rFonts w:eastAsia="Calibri"/>
          <w:b/>
          <w:bCs/>
          <w:sz w:val="22"/>
          <w:szCs w:val="22"/>
          <w:lang w:eastAsia="en-US"/>
        </w:rPr>
        <w:t>7</w:t>
      </w:r>
      <w:r w:rsidRPr="005444E9">
        <w:rPr>
          <w:rFonts w:eastAsia="Calibri"/>
          <w:b/>
          <w:bCs/>
          <w:sz w:val="22"/>
          <w:szCs w:val="22"/>
          <w:lang w:val="en-US" w:eastAsia="en-US"/>
        </w:rPr>
        <w:t>.02</w:t>
      </w:r>
      <w:r w:rsidRPr="005444E9">
        <w:rPr>
          <w:rFonts w:eastAsia="Calibri"/>
          <w:b/>
          <w:bCs/>
          <w:sz w:val="22"/>
          <w:szCs w:val="22"/>
          <w:lang w:eastAsia="en-US"/>
        </w:rPr>
        <w:t>.2021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1" w:history="1">
        <w:r w:rsidRPr="005444E9">
          <w:rPr>
            <w:sz w:val="22"/>
            <w:szCs w:val="22"/>
          </w:rPr>
          <w:t xml:space="preserve"> Публикация на покана за свикване на общо събрание на акционерите. </w:t>
        </w:r>
      </w:hyperlink>
    </w:p>
    <w:p w:rsidR="00AD687D"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val="en-US" w:eastAsia="en-US"/>
        </w:rPr>
        <w:t>1</w:t>
      </w:r>
      <w:r w:rsidRPr="005444E9">
        <w:rPr>
          <w:rFonts w:eastAsia="Calibri"/>
          <w:b/>
          <w:bCs/>
          <w:sz w:val="22"/>
          <w:szCs w:val="22"/>
          <w:lang w:eastAsia="en-US"/>
        </w:rPr>
        <w:t>7</w:t>
      </w:r>
      <w:r w:rsidRPr="005444E9">
        <w:rPr>
          <w:rFonts w:eastAsia="Calibri"/>
          <w:b/>
          <w:bCs/>
          <w:sz w:val="22"/>
          <w:szCs w:val="22"/>
          <w:lang w:val="en-US" w:eastAsia="en-US"/>
        </w:rPr>
        <w:t>.02</w:t>
      </w:r>
      <w:r w:rsidRPr="005444E9">
        <w:rPr>
          <w:rFonts w:eastAsia="Calibri"/>
          <w:b/>
          <w:bCs/>
          <w:sz w:val="22"/>
          <w:szCs w:val="22"/>
          <w:lang w:eastAsia="en-US"/>
        </w:rPr>
        <w:t>.2021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r w:rsidRPr="005444E9">
        <w:rPr>
          <w:sz w:val="22"/>
          <w:szCs w:val="22"/>
        </w:rPr>
        <w:t xml:space="preserve">Вътрешна информация по чл. 17, §1, във </w:t>
      </w:r>
      <w:proofErr w:type="spellStart"/>
      <w:r w:rsidRPr="005444E9">
        <w:rPr>
          <w:sz w:val="22"/>
          <w:szCs w:val="22"/>
        </w:rPr>
        <w:t>вр</w:t>
      </w:r>
      <w:proofErr w:type="spellEnd"/>
      <w:r w:rsidRPr="005444E9">
        <w:rPr>
          <w:sz w:val="22"/>
          <w:szCs w:val="22"/>
        </w:rPr>
        <w:t>. с чл. 7 от Регламент №596/2014 на ЕП и на Съвета.</w:t>
      </w:r>
    </w:p>
    <w:p w:rsidR="00395D9C"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26</w:t>
      </w:r>
      <w:r w:rsidRPr="005444E9">
        <w:rPr>
          <w:rFonts w:eastAsia="Calibri"/>
          <w:b/>
          <w:bCs/>
          <w:sz w:val="22"/>
          <w:szCs w:val="22"/>
          <w:lang w:val="en-US" w:eastAsia="en-US"/>
        </w:rPr>
        <w:t>.02</w:t>
      </w:r>
      <w:r w:rsidRPr="005444E9">
        <w:rPr>
          <w:rFonts w:eastAsia="Calibri"/>
          <w:b/>
          <w:bCs/>
          <w:sz w:val="22"/>
          <w:szCs w:val="22"/>
          <w:lang w:eastAsia="en-US"/>
        </w:rPr>
        <w:t>.2021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е представило пред КФН, БФБ и обществеността</w:t>
      </w:r>
      <w:r w:rsidRPr="005444E9">
        <w:rPr>
          <w:sz w:val="22"/>
          <w:szCs w:val="22"/>
        </w:rPr>
        <w:t xml:space="preserve"> Тримесечен консолидиран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 за четвърто тримесечие на 2020г.</w:t>
      </w:r>
    </w:p>
    <w:p w:rsidR="00395D9C"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18.03.2021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е представило пред КФН, БФБ и обществеността</w:t>
      </w:r>
      <w:r w:rsidRPr="005444E9">
        <w:rPr>
          <w:sz w:val="22"/>
          <w:szCs w:val="22"/>
        </w:rPr>
        <w:t xml:space="preserve"> Протокол от </w:t>
      </w:r>
      <w:r w:rsidR="00FB2974" w:rsidRPr="005444E9">
        <w:rPr>
          <w:sz w:val="22"/>
          <w:szCs w:val="22"/>
        </w:rPr>
        <w:t>И</w:t>
      </w:r>
      <w:r w:rsidR="0027060B" w:rsidRPr="005444E9">
        <w:rPr>
          <w:sz w:val="22"/>
          <w:szCs w:val="22"/>
        </w:rPr>
        <w:t xml:space="preserve">звънредно </w:t>
      </w:r>
      <w:r w:rsidRPr="005444E9">
        <w:rPr>
          <w:sz w:val="22"/>
          <w:szCs w:val="22"/>
        </w:rPr>
        <w:t>Общо събрание на акционерите</w:t>
      </w:r>
      <w:r w:rsidR="00FB2974" w:rsidRPr="005444E9">
        <w:rPr>
          <w:sz w:val="22"/>
          <w:szCs w:val="22"/>
        </w:rPr>
        <w:t>:</w:t>
      </w:r>
    </w:p>
    <w:p w:rsidR="00FB2974" w:rsidRPr="00C8053D" w:rsidRDefault="00FB2974" w:rsidP="005444E9">
      <w:pPr>
        <w:spacing w:line="360" w:lineRule="auto"/>
        <w:ind w:firstLine="708"/>
        <w:jc w:val="both"/>
        <w:rPr>
          <w:bCs/>
          <w:sz w:val="22"/>
          <w:szCs w:val="22"/>
        </w:rPr>
      </w:pPr>
      <w:r w:rsidRPr="005444E9">
        <w:rPr>
          <w:bCs/>
          <w:sz w:val="22"/>
          <w:szCs w:val="22"/>
        </w:rPr>
        <w:t xml:space="preserve">Във връзка с проведеното на 18.03.2021 г. от 11:00 ч. Извънредно общо присъствено заседание на акционерите на </w:t>
      </w:r>
      <w:r w:rsidRPr="005444E9">
        <w:rPr>
          <w:bCs/>
          <w:color w:val="000000"/>
          <w:sz w:val="22"/>
          <w:szCs w:val="22"/>
        </w:rPr>
        <w:t>ТЕЦ “МАРИЦА 3“ АД</w:t>
      </w:r>
      <w:r w:rsidRPr="005444E9">
        <w:rPr>
          <w:bCs/>
          <w:sz w:val="22"/>
          <w:szCs w:val="22"/>
        </w:rPr>
        <w:t xml:space="preserve">, гр. Димитровград, Ви уведомяваме за решенията, които бяха приети </w:t>
      </w:r>
      <w:r w:rsidRPr="00C8053D">
        <w:rPr>
          <w:bCs/>
          <w:sz w:val="22"/>
          <w:szCs w:val="22"/>
        </w:rPr>
        <w:t>от акционерите:</w:t>
      </w:r>
    </w:p>
    <w:p w:rsidR="00946E01" w:rsidRPr="005444E9" w:rsidRDefault="00946E01" w:rsidP="005444E9">
      <w:pPr>
        <w:spacing w:line="360" w:lineRule="auto"/>
        <w:ind w:firstLine="708"/>
        <w:jc w:val="both"/>
        <w:rPr>
          <w:bCs/>
          <w:color w:val="0070C0"/>
          <w:sz w:val="22"/>
          <w:szCs w:val="22"/>
        </w:rPr>
      </w:pPr>
    </w:p>
    <w:p w:rsidR="00C8053D" w:rsidRDefault="00B1181D" w:rsidP="00C8053D">
      <w:pPr>
        <w:pStyle w:val="22"/>
        <w:shd w:val="clear" w:color="auto" w:fill="auto"/>
        <w:spacing w:before="0" w:line="360" w:lineRule="auto"/>
        <w:ind w:firstLine="708"/>
        <w:rPr>
          <w:rStyle w:val="23"/>
          <w:sz w:val="22"/>
          <w:szCs w:val="22"/>
        </w:rPr>
      </w:pPr>
      <w:r w:rsidRPr="005444E9">
        <w:rPr>
          <w:rStyle w:val="23"/>
          <w:sz w:val="22"/>
          <w:szCs w:val="22"/>
        </w:rPr>
        <w:lastRenderedPageBreak/>
        <w:t>По точка 1 от дневния ред</w:t>
      </w:r>
      <w:r w:rsidR="00377804" w:rsidRPr="005444E9">
        <w:rPr>
          <w:rStyle w:val="23"/>
          <w:sz w:val="22"/>
          <w:szCs w:val="22"/>
        </w:rPr>
        <w:t>:</w:t>
      </w:r>
      <w:r w:rsidRPr="005444E9">
        <w:rPr>
          <w:rStyle w:val="23"/>
          <w:sz w:val="22"/>
          <w:szCs w:val="22"/>
        </w:rPr>
        <w:t xml:space="preserve"> </w:t>
      </w:r>
    </w:p>
    <w:p w:rsidR="00B1181D" w:rsidRPr="005444E9" w:rsidRDefault="00B1181D" w:rsidP="005444E9">
      <w:pPr>
        <w:pStyle w:val="22"/>
        <w:shd w:val="clear" w:color="auto" w:fill="auto"/>
        <w:spacing w:before="0" w:line="360" w:lineRule="auto"/>
        <w:ind w:firstLine="0"/>
        <w:rPr>
          <w:sz w:val="22"/>
          <w:szCs w:val="22"/>
        </w:rPr>
      </w:pPr>
      <w:r w:rsidRPr="005444E9">
        <w:rPr>
          <w:sz w:val="22"/>
          <w:szCs w:val="22"/>
        </w:rPr>
        <w:t xml:space="preserve">Председателят на заседанието представи на присъстващите предложението на </w:t>
      </w:r>
      <w:proofErr w:type="spellStart"/>
      <w:r w:rsidRPr="005444E9">
        <w:rPr>
          <w:sz w:val="22"/>
          <w:szCs w:val="22"/>
        </w:rPr>
        <w:t>Одитния</w:t>
      </w:r>
      <w:proofErr w:type="spellEnd"/>
      <w:r w:rsidRPr="005444E9">
        <w:rPr>
          <w:sz w:val="22"/>
          <w:szCs w:val="22"/>
        </w:rPr>
        <w:t xml:space="preserve"> комитет за регистриран </w:t>
      </w:r>
      <w:proofErr w:type="spellStart"/>
      <w:r w:rsidRPr="005444E9">
        <w:rPr>
          <w:sz w:val="22"/>
          <w:szCs w:val="22"/>
        </w:rPr>
        <w:t>одитор</w:t>
      </w:r>
      <w:proofErr w:type="spellEnd"/>
      <w:r w:rsidRPr="005444E9">
        <w:rPr>
          <w:sz w:val="22"/>
          <w:szCs w:val="22"/>
        </w:rPr>
        <w:t xml:space="preserve"> за 2020г. да бъде избрано </w:t>
      </w:r>
      <w:proofErr w:type="spellStart"/>
      <w:r w:rsidRPr="005444E9">
        <w:rPr>
          <w:sz w:val="22"/>
          <w:szCs w:val="22"/>
        </w:rPr>
        <w:t>Одиторско</w:t>
      </w:r>
      <w:proofErr w:type="spellEnd"/>
      <w:r w:rsidRPr="005444E9">
        <w:rPr>
          <w:sz w:val="22"/>
          <w:szCs w:val="22"/>
        </w:rPr>
        <w:t xml:space="preserve"> дружество - “ЕКОВИС ОДИТ БЪЛГАРИЯ” ООД - </w:t>
      </w:r>
      <w:r w:rsidRPr="005444E9">
        <w:rPr>
          <w:sz w:val="22"/>
          <w:szCs w:val="22"/>
          <w:lang w:val="en-US" w:bidi="en-US"/>
        </w:rPr>
        <w:t xml:space="preserve">per. </w:t>
      </w:r>
      <w:r w:rsidRPr="005444E9">
        <w:rPr>
          <w:sz w:val="22"/>
          <w:szCs w:val="22"/>
        </w:rPr>
        <w:t xml:space="preserve">№ 114.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извънредното ОСА предложи да се премине към гласуване на постъпилото от </w:t>
      </w:r>
      <w:proofErr w:type="spellStart"/>
      <w:r w:rsidRPr="005444E9">
        <w:rPr>
          <w:sz w:val="22"/>
          <w:szCs w:val="22"/>
        </w:rPr>
        <w:t>Одитния</w:t>
      </w:r>
      <w:proofErr w:type="spellEnd"/>
      <w:r w:rsidRPr="005444E9">
        <w:rPr>
          <w:sz w:val="22"/>
          <w:szCs w:val="22"/>
        </w:rPr>
        <w:t xml:space="preserve"> комитет предложение.</w:t>
      </w:r>
    </w:p>
    <w:p w:rsidR="000662BA" w:rsidRPr="005444E9" w:rsidRDefault="00B1181D" w:rsidP="005444E9">
      <w:pPr>
        <w:pStyle w:val="22"/>
        <w:shd w:val="clear" w:color="auto" w:fill="auto"/>
        <w:spacing w:before="0" w:after="342" w:line="360" w:lineRule="auto"/>
        <w:ind w:firstLine="800"/>
        <w:rPr>
          <w:sz w:val="22"/>
          <w:szCs w:val="22"/>
        </w:rPr>
      </w:pPr>
      <w:r w:rsidRPr="005444E9">
        <w:rPr>
          <w:sz w:val="22"/>
          <w:szCs w:val="22"/>
        </w:rPr>
        <w:t>ИОСА на основание чл.221, т.6 от ТЗ и Устава взе следното</w:t>
      </w:r>
    </w:p>
    <w:p w:rsidR="00B1181D" w:rsidRPr="005444E9" w:rsidRDefault="00B1181D" w:rsidP="005444E9">
      <w:pPr>
        <w:pStyle w:val="22"/>
        <w:shd w:val="clear" w:color="auto" w:fill="auto"/>
        <w:spacing w:before="0" w:after="342" w:line="360" w:lineRule="auto"/>
        <w:ind w:firstLine="800"/>
        <w:rPr>
          <w:sz w:val="22"/>
          <w:szCs w:val="22"/>
        </w:rPr>
      </w:pPr>
      <w:r w:rsidRPr="005444E9">
        <w:rPr>
          <w:sz w:val="22"/>
          <w:szCs w:val="22"/>
        </w:rPr>
        <w:t>РЕШЕНИЕ № 1</w:t>
      </w:r>
    </w:p>
    <w:p w:rsidR="00B1181D" w:rsidRPr="005444E9" w:rsidRDefault="00B1181D" w:rsidP="005444E9">
      <w:pPr>
        <w:spacing w:line="360" w:lineRule="auto"/>
        <w:jc w:val="both"/>
        <w:rPr>
          <w:sz w:val="22"/>
          <w:szCs w:val="22"/>
        </w:rPr>
      </w:pPr>
      <w:r w:rsidRPr="005444E9">
        <w:rPr>
          <w:sz w:val="22"/>
          <w:szCs w:val="22"/>
        </w:rPr>
        <w:t xml:space="preserve">ИЗБИРА по предложение на </w:t>
      </w:r>
      <w:proofErr w:type="spellStart"/>
      <w:r w:rsidRPr="005444E9">
        <w:rPr>
          <w:sz w:val="22"/>
          <w:szCs w:val="22"/>
        </w:rPr>
        <w:t>Одитния</w:t>
      </w:r>
      <w:proofErr w:type="spellEnd"/>
      <w:r w:rsidRPr="005444E9">
        <w:rPr>
          <w:sz w:val="22"/>
          <w:szCs w:val="22"/>
        </w:rPr>
        <w:t xml:space="preserve"> комитет, за регистриран </w:t>
      </w:r>
      <w:proofErr w:type="spellStart"/>
      <w:r w:rsidRPr="005444E9">
        <w:rPr>
          <w:sz w:val="22"/>
          <w:szCs w:val="22"/>
        </w:rPr>
        <w:t>одитор</w:t>
      </w:r>
      <w:proofErr w:type="spellEnd"/>
      <w:r w:rsidRPr="005444E9">
        <w:rPr>
          <w:sz w:val="22"/>
          <w:szCs w:val="22"/>
        </w:rPr>
        <w:t xml:space="preserve"> за </w:t>
      </w:r>
      <w:proofErr w:type="spellStart"/>
      <w:r w:rsidRPr="005444E9">
        <w:rPr>
          <w:sz w:val="22"/>
          <w:szCs w:val="22"/>
        </w:rPr>
        <w:t>одитиране</w:t>
      </w:r>
      <w:proofErr w:type="spellEnd"/>
      <w:r w:rsidRPr="005444E9">
        <w:rPr>
          <w:sz w:val="22"/>
          <w:szCs w:val="22"/>
        </w:rPr>
        <w:t xml:space="preserve"> на годишния финансов отчет за 2020г. - </w:t>
      </w:r>
      <w:proofErr w:type="spellStart"/>
      <w:r w:rsidRPr="005444E9">
        <w:rPr>
          <w:sz w:val="22"/>
          <w:szCs w:val="22"/>
        </w:rPr>
        <w:t>Одиторско</w:t>
      </w:r>
      <w:proofErr w:type="spellEnd"/>
      <w:r w:rsidRPr="005444E9">
        <w:rPr>
          <w:sz w:val="22"/>
          <w:szCs w:val="22"/>
        </w:rPr>
        <w:t xml:space="preserve"> дружество “ЕКОВИС ОДИТ БЪЛГАРИЯ” ООД - </w:t>
      </w:r>
      <w:r w:rsidRPr="005444E9">
        <w:rPr>
          <w:sz w:val="22"/>
          <w:szCs w:val="22"/>
          <w:lang w:val="en-US" w:eastAsia="en-US" w:bidi="en-US"/>
        </w:rPr>
        <w:t xml:space="preserve">per. </w:t>
      </w:r>
      <w:r w:rsidRPr="005444E9">
        <w:rPr>
          <w:sz w:val="22"/>
          <w:szCs w:val="22"/>
        </w:rPr>
        <w:t>№ 114.</w:t>
      </w:r>
    </w:p>
    <w:p w:rsidR="000662BA" w:rsidRPr="005444E9" w:rsidRDefault="000662BA" w:rsidP="005444E9">
      <w:pPr>
        <w:spacing w:line="360" w:lineRule="auto"/>
        <w:jc w:val="both"/>
        <w:rPr>
          <w:sz w:val="22"/>
          <w:szCs w:val="22"/>
        </w:rPr>
      </w:pPr>
    </w:p>
    <w:p w:rsidR="00C8053D" w:rsidRDefault="00581960" w:rsidP="00C8053D">
      <w:pPr>
        <w:pStyle w:val="22"/>
        <w:shd w:val="clear" w:color="auto" w:fill="auto"/>
        <w:spacing w:before="0" w:after="218" w:line="360" w:lineRule="auto"/>
        <w:ind w:firstLine="708"/>
        <w:rPr>
          <w:rStyle w:val="23"/>
          <w:sz w:val="22"/>
          <w:szCs w:val="22"/>
        </w:rPr>
      </w:pPr>
      <w:r w:rsidRPr="005444E9">
        <w:rPr>
          <w:rStyle w:val="23"/>
          <w:sz w:val="22"/>
          <w:szCs w:val="22"/>
        </w:rPr>
        <w:t>По точка 2 от дневния ред</w:t>
      </w:r>
      <w:r w:rsidR="009229DE" w:rsidRPr="005444E9">
        <w:rPr>
          <w:rStyle w:val="23"/>
          <w:sz w:val="22"/>
          <w:szCs w:val="22"/>
        </w:rPr>
        <w:t>:</w:t>
      </w:r>
      <w:r w:rsidRPr="005444E9">
        <w:rPr>
          <w:rStyle w:val="23"/>
          <w:sz w:val="22"/>
          <w:szCs w:val="22"/>
        </w:rPr>
        <w:t xml:space="preserve"> </w:t>
      </w:r>
    </w:p>
    <w:p w:rsidR="00581960" w:rsidRPr="005444E9" w:rsidRDefault="00581960" w:rsidP="005444E9">
      <w:pPr>
        <w:pStyle w:val="22"/>
        <w:shd w:val="clear" w:color="auto" w:fill="auto"/>
        <w:spacing w:before="0" w:after="218" w:line="360" w:lineRule="auto"/>
        <w:ind w:firstLine="0"/>
        <w:rPr>
          <w:sz w:val="22"/>
          <w:szCs w:val="22"/>
        </w:rPr>
      </w:pPr>
      <w:r w:rsidRPr="005444E9">
        <w:rPr>
          <w:sz w:val="22"/>
          <w:szCs w:val="22"/>
        </w:rPr>
        <w:t>Председателят н</w:t>
      </w:r>
      <w:r w:rsidR="001D05D8">
        <w:rPr>
          <w:sz w:val="22"/>
          <w:szCs w:val="22"/>
        </w:rPr>
        <w:t>а заседанието запозна присъстващ</w:t>
      </w:r>
      <w:r w:rsidRPr="005444E9">
        <w:rPr>
          <w:sz w:val="22"/>
          <w:szCs w:val="22"/>
        </w:rPr>
        <w:t xml:space="preserve">ите с предложението, направено на основание чл. 107, ал. 2 от ЗНФО от Председателя на Съвета на директорите за избор на нов член на </w:t>
      </w:r>
      <w:proofErr w:type="spellStart"/>
      <w:r w:rsidRPr="005444E9">
        <w:rPr>
          <w:sz w:val="22"/>
          <w:szCs w:val="22"/>
        </w:rPr>
        <w:t>одитния</w:t>
      </w:r>
      <w:proofErr w:type="spellEnd"/>
      <w:r w:rsidRPr="005444E9">
        <w:rPr>
          <w:sz w:val="22"/>
          <w:szCs w:val="22"/>
        </w:rPr>
        <w:t xml:space="preserve"> комитет. Разясни, че членът на </w:t>
      </w:r>
      <w:proofErr w:type="spellStart"/>
      <w:r w:rsidRPr="005444E9">
        <w:rPr>
          <w:sz w:val="22"/>
          <w:szCs w:val="22"/>
        </w:rPr>
        <w:t>одитния</w:t>
      </w:r>
      <w:proofErr w:type="spellEnd"/>
      <w:r w:rsidRPr="005444E9">
        <w:rPr>
          <w:sz w:val="22"/>
          <w:szCs w:val="22"/>
        </w:rPr>
        <w:t xml:space="preserve"> комитет Мирослав Цанков е починал и на негово място следва да бъде избран друг член. Предложението е да бъде избрана Жана Гълъбова. Съгласно предложението, новият член на </w:t>
      </w:r>
      <w:proofErr w:type="spellStart"/>
      <w:r w:rsidRPr="005444E9">
        <w:rPr>
          <w:sz w:val="22"/>
          <w:szCs w:val="22"/>
        </w:rPr>
        <w:t>одитния</w:t>
      </w:r>
      <w:proofErr w:type="spellEnd"/>
      <w:r w:rsidRPr="005444E9">
        <w:rPr>
          <w:sz w:val="22"/>
          <w:szCs w:val="22"/>
        </w:rPr>
        <w:t xml:space="preserve"> комитет следва да е с мандат, колкото е остатъка от мандата на другите членове на </w:t>
      </w:r>
      <w:proofErr w:type="spellStart"/>
      <w:r w:rsidRPr="005444E9">
        <w:rPr>
          <w:sz w:val="22"/>
          <w:szCs w:val="22"/>
        </w:rPr>
        <w:t>одитния</w:t>
      </w:r>
      <w:proofErr w:type="spellEnd"/>
      <w:r w:rsidRPr="005444E9">
        <w:rPr>
          <w:sz w:val="22"/>
          <w:szCs w:val="22"/>
        </w:rPr>
        <w:t xml:space="preserve"> комитет. За провеждането на избор на нов член на </w:t>
      </w:r>
      <w:proofErr w:type="spellStart"/>
      <w:r w:rsidRPr="005444E9">
        <w:rPr>
          <w:sz w:val="22"/>
          <w:szCs w:val="22"/>
        </w:rPr>
        <w:t>одитния</w:t>
      </w:r>
      <w:proofErr w:type="spellEnd"/>
      <w:r w:rsidRPr="005444E9">
        <w:rPr>
          <w:sz w:val="22"/>
          <w:szCs w:val="22"/>
        </w:rPr>
        <w:t xml:space="preserve"> комитет следва да се приложат всички законови изисквания, свързани с него. В т</w:t>
      </w:r>
      <w:r w:rsidR="001D05D8">
        <w:rPr>
          <w:sz w:val="22"/>
          <w:szCs w:val="22"/>
        </w:rPr>
        <w:t>ази връзка разясни на присъстващ</w:t>
      </w:r>
      <w:r w:rsidRPr="005444E9">
        <w:rPr>
          <w:sz w:val="22"/>
          <w:szCs w:val="22"/>
        </w:rPr>
        <w:t xml:space="preserve">ите, че предложеният член на </w:t>
      </w:r>
      <w:proofErr w:type="spellStart"/>
      <w:r w:rsidRPr="005444E9">
        <w:rPr>
          <w:sz w:val="22"/>
          <w:szCs w:val="22"/>
        </w:rPr>
        <w:t>одитния</w:t>
      </w:r>
      <w:proofErr w:type="spellEnd"/>
      <w:r w:rsidRPr="005444E9">
        <w:rPr>
          <w:sz w:val="22"/>
          <w:szCs w:val="22"/>
        </w:rPr>
        <w:t xml:space="preserve"> комитет отговаря на изискванията на чл. 107, ал. 3 и ал. 4 от ЗНФО, видно от представените от него документи. След това пред</w:t>
      </w:r>
      <w:r w:rsidR="001D05D8">
        <w:rPr>
          <w:sz w:val="22"/>
          <w:szCs w:val="22"/>
        </w:rPr>
        <w:t>седателят даде думата на желаещ</w:t>
      </w:r>
      <w:r w:rsidRPr="005444E9">
        <w:rPr>
          <w:sz w:val="22"/>
          <w:szCs w:val="22"/>
        </w:rPr>
        <w:t>ите акционери да се изкажат, зададат въпроси и направят предложения по същество. Такива нямаше. Поради това председателят на ИОСА предложи да се премине към гласуване на постъпилото предложение.</w:t>
      </w:r>
    </w:p>
    <w:p w:rsidR="00581960" w:rsidRPr="005444E9" w:rsidRDefault="00581960" w:rsidP="005444E9">
      <w:pPr>
        <w:pStyle w:val="22"/>
        <w:shd w:val="clear" w:color="auto" w:fill="auto"/>
        <w:spacing w:before="0" w:after="282" w:line="360" w:lineRule="auto"/>
        <w:ind w:firstLine="800"/>
        <w:rPr>
          <w:sz w:val="22"/>
          <w:szCs w:val="22"/>
        </w:rPr>
      </w:pPr>
      <w:r w:rsidRPr="005444E9">
        <w:rPr>
          <w:sz w:val="22"/>
          <w:szCs w:val="22"/>
        </w:rPr>
        <w:t>ИОСА на основание чл.221, т.11 от ТЗ и Устава взе следното</w:t>
      </w:r>
    </w:p>
    <w:p w:rsidR="000662BA" w:rsidRPr="005444E9" w:rsidRDefault="000662BA" w:rsidP="005444E9">
      <w:pPr>
        <w:pStyle w:val="22"/>
        <w:shd w:val="clear" w:color="auto" w:fill="auto"/>
        <w:spacing w:before="0" w:after="342" w:line="360" w:lineRule="auto"/>
        <w:ind w:firstLine="800"/>
        <w:rPr>
          <w:sz w:val="22"/>
          <w:szCs w:val="22"/>
        </w:rPr>
      </w:pPr>
      <w:r w:rsidRPr="005444E9">
        <w:rPr>
          <w:sz w:val="22"/>
          <w:szCs w:val="22"/>
        </w:rPr>
        <w:t>РЕШЕНИЕ № 2</w:t>
      </w:r>
    </w:p>
    <w:p w:rsidR="000662BA" w:rsidRPr="005444E9" w:rsidRDefault="000662BA" w:rsidP="005444E9">
      <w:pPr>
        <w:pStyle w:val="32"/>
        <w:shd w:val="clear" w:color="auto" w:fill="auto"/>
        <w:spacing w:after="0" w:line="360" w:lineRule="auto"/>
        <w:jc w:val="both"/>
        <w:rPr>
          <w:rFonts w:eastAsiaTheme="minorHAnsi"/>
          <w:b w:val="0"/>
          <w:bCs w:val="0"/>
          <w:sz w:val="22"/>
          <w:szCs w:val="22"/>
          <w:lang w:eastAsia="bg-BG"/>
        </w:rPr>
      </w:pPr>
      <w:r w:rsidRPr="005444E9">
        <w:rPr>
          <w:rFonts w:eastAsiaTheme="minorHAnsi"/>
          <w:b w:val="0"/>
          <w:bCs w:val="0"/>
          <w:sz w:val="22"/>
          <w:szCs w:val="22"/>
          <w:lang w:eastAsia="bg-BG"/>
        </w:rPr>
        <w:t xml:space="preserve">ЗАЛИЧАВА поради настъпилата смърт, като член на </w:t>
      </w:r>
      <w:proofErr w:type="spellStart"/>
      <w:r w:rsidRPr="005444E9">
        <w:rPr>
          <w:rFonts w:eastAsiaTheme="minorHAnsi"/>
          <w:b w:val="0"/>
          <w:bCs w:val="0"/>
          <w:sz w:val="22"/>
          <w:szCs w:val="22"/>
          <w:lang w:eastAsia="bg-BG"/>
        </w:rPr>
        <w:t>одитния</w:t>
      </w:r>
      <w:proofErr w:type="spellEnd"/>
      <w:r w:rsidRPr="005444E9">
        <w:rPr>
          <w:rFonts w:eastAsiaTheme="minorHAnsi"/>
          <w:b w:val="0"/>
          <w:bCs w:val="0"/>
          <w:sz w:val="22"/>
          <w:szCs w:val="22"/>
          <w:lang w:eastAsia="bg-BG"/>
        </w:rPr>
        <w:t xml:space="preserve"> комитет Мирослав Цанков и ИЗБИРА на негово място за член на </w:t>
      </w:r>
      <w:proofErr w:type="spellStart"/>
      <w:r w:rsidRPr="005444E9">
        <w:rPr>
          <w:rFonts w:eastAsiaTheme="minorHAnsi"/>
          <w:b w:val="0"/>
          <w:bCs w:val="0"/>
          <w:sz w:val="22"/>
          <w:szCs w:val="22"/>
          <w:lang w:eastAsia="bg-BG"/>
        </w:rPr>
        <w:t>одитния</w:t>
      </w:r>
      <w:proofErr w:type="spellEnd"/>
      <w:r w:rsidRPr="005444E9">
        <w:rPr>
          <w:rFonts w:eastAsiaTheme="minorHAnsi"/>
          <w:b w:val="0"/>
          <w:bCs w:val="0"/>
          <w:sz w:val="22"/>
          <w:szCs w:val="22"/>
          <w:lang w:eastAsia="bg-BG"/>
        </w:rPr>
        <w:t xml:space="preserve"> комитет Жана Гълъбова, за остатъка от мандата на </w:t>
      </w:r>
      <w:proofErr w:type="spellStart"/>
      <w:r w:rsidRPr="005444E9">
        <w:rPr>
          <w:rFonts w:eastAsiaTheme="minorHAnsi"/>
          <w:b w:val="0"/>
          <w:bCs w:val="0"/>
          <w:sz w:val="22"/>
          <w:szCs w:val="22"/>
          <w:lang w:eastAsia="bg-BG"/>
        </w:rPr>
        <w:t>одитния</w:t>
      </w:r>
      <w:proofErr w:type="spellEnd"/>
      <w:r w:rsidRPr="005444E9">
        <w:rPr>
          <w:rFonts w:eastAsiaTheme="minorHAnsi"/>
          <w:b w:val="0"/>
          <w:bCs w:val="0"/>
          <w:sz w:val="22"/>
          <w:szCs w:val="22"/>
          <w:lang w:eastAsia="bg-BG"/>
        </w:rPr>
        <w:t xml:space="preserve"> комитет.</w:t>
      </w:r>
    </w:p>
    <w:p w:rsidR="000662BA" w:rsidRPr="005444E9" w:rsidRDefault="000662BA" w:rsidP="005444E9">
      <w:pPr>
        <w:spacing w:line="360" w:lineRule="auto"/>
        <w:jc w:val="both"/>
        <w:rPr>
          <w:sz w:val="22"/>
          <w:szCs w:val="22"/>
        </w:rPr>
      </w:pPr>
    </w:p>
    <w:p w:rsidR="00395D9C" w:rsidRPr="005444E9" w:rsidRDefault="00395D9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31.03.2021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е представило пред КФН, БФБ и обществеността</w:t>
      </w:r>
      <w:r w:rsidRPr="005444E9">
        <w:rPr>
          <w:sz w:val="22"/>
          <w:szCs w:val="22"/>
        </w:rPr>
        <w:t xml:space="preserve"> Годишен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 за 2020 г.</w:t>
      </w:r>
    </w:p>
    <w:p w:rsidR="0027060B" w:rsidRPr="005444E9" w:rsidRDefault="0027060B" w:rsidP="005444E9">
      <w:pPr>
        <w:spacing w:line="360" w:lineRule="auto"/>
        <w:jc w:val="both"/>
        <w:rPr>
          <w:sz w:val="22"/>
          <w:szCs w:val="22"/>
        </w:rPr>
      </w:pPr>
      <w:r w:rsidRPr="005444E9">
        <w:rPr>
          <w:rFonts w:eastAsia="Calibri"/>
          <w:sz w:val="22"/>
          <w:szCs w:val="22"/>
          <w:lang w:eastAsia="en-US"/>
        </w:rPr>
        <w:lastRenderedPageBreak/>
        <w:t xml:space="preserve">На </w:t>
      </w:r>
      <w:r w:rsidRPr="005444E9">
        <w:rPr>
          <w:rFonts w:eastAsia="Calibri"/>
          <w:b/>
          <w:bCs/>
          <w:sz w:val="22"/>
          <w:szCs w:val="22"/>
          <w:lang w:eastAsia="en-US"/>
        </w:rPr>
        <w:t>29.04.2021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2" w:history="1">
        <w:r w:rsidRPr="005444E9">
          <w:rPr>
            <w:sz w:val="22"/>
            <w:szCs w:val="22"/>
          </w:rPr>
          <w:t xml:space="preserve"> Тримесечен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w:t>
        </w:r>
        <w:r w:rsidRPr="005444E9">
          <w:rPr>
            <w:sz w:val="22"/>
            <w:szCs w:val="22"/>
            <w:lang w:val="en-US"/>
          </w:rPr>
          <w:t xml:space="preserve"> </w:t>
        </w:r>
        <w:r w:rsidRPr="005444E9">
          <w:rPr>
            <w:sz w:val="22"/>
            <w:szCs w:val="22"/>
          </w:rPr>
          <w:t>за първо тримесечие на 2021г.</w:t>
        </w:r>
      </w:hyperlink>
    </w:p>
    <w:p w:rsidR="0027060B" w:rsidRPr="005444E9" w:rsidRDefault="0027060B" w:rsidP="005444E9">
      <w:pPr>
        <w:spacing w:line="360" w:lineRule="auto"/>
        <w:jc w:val="both"/>
        <w:rPr>
          <w:rFonts w:eastAsia="Calibri"/>
          <w:sz w:val="22"/>
          <w:szCs w:val="22"/>
          <w:lang w:eastAsia="en-US"/>
        </w:rPr>
      </w:pPr>
      <w:r w:rsidRPr="005444E9">
        <w:rPr>
          <w:rFonts w:eastAsia="Calibri"/>
          <w:sz w:val="22"/>
          <w:szCs w:val="22"/>
          <w:lang w:eastAsia="en-US"/>
        </w:rPr>
        <w:t xml:space="preserve">На </w:t>
      </w:r>
      <w:r w:rsidRPr="005444E9">
        <w:rPr>
          <w:rFonts w:eastAsia="Calibri"/>
          <w:b/>
          <w:bCs/>
          <w:sz w:val="22"/>
          <w:szCs w:val="22"/>
          <w:lang w:eastAsia="en-US"/>
        </w:rPr>
        <w:t>29.04.2021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3" w:history="1">
        <w:r w:rsidRPr="005444E9">
          <w:rPr>
            <w:sz w:val="22"/>
            <w:szCs w:val="22"/>
          </w:rPr>
          <w:t xml:space="preserve"> Тримесечен отчет на </w:t>
        </w:r>
        <w:proofErr w:type="spellStart"/>
        <w:r w:rsidRPr="005444E9">
          <w:rPr>
            <w:sz w:val="22"/>
            <w:szCs w:val="22"/>
          </w:rPr>
          <w:t>емитент</w:t>
        </w:r>
        <w:proofErr w:type="spellEnd"/>
        <w:r w:rsidRPr="005444E9">
          <w:rPr>
            <w:sz w:val="22"/>
            <w:szCs w:val="22"/>
          </w:rPr>
          <w:t xml:space="preserve"> на облигации по чл. 100е, ал. 1, т. 2, във връзка с чл. 100е, ал. 2 от ЗППЦК за спазване на задълженията на </w:t>
        </w:r>
        <w:proofErr w:type="spellStart"/>
        <w:r w:rsidRPr="005444E9">
          <w:rPr>
            <w:sz w:val="22"/>
            <w:szCs w:val="22"/>
          </w:rPr>
          <w:t>емитента</w:t>
        </w:r>
        <w:proofErr w:type="spellEnd"/>
        <w:r w:rsidRPr="005444E9">
          <w:rPr>
            <w:sz w:val="22"/>
            <w:szCs w:val="22"/>
          </w:rPr>
          <w:t xml:space="preserve"> към </w:t>
        </w:r>
        <w:proofErr w:type="spellStart"/>
        <w:r w:rsidRPr="005444E9">
          <w:rPr>
            <w:sz w:val="22"/>
            <w:szCs w:val="22"/>
          </w:rPr>
          <w:t>облигационерите</w:t>
        </w:r>
        <w:proofErr w:type="spellEnd"/>
        <w:r w:rsidRPr="005444E9">
          <w:rPr>
            <w:rFonts w:eastAsia="Calibri"/>
            <w:sz w:val="22"/>
            <w:szCs w:val="22"/>
            <w:lang w:eastAsia="en-US"/>
          </w:rPr>
          <w:t xml:space="preserve"> за първо тримесечие на 2021г.</w:t>
        </w:r>
      </w:hyperlink>
    </w:p>
    <w:p w:rsidR="006F3DD8" w:rsidRPr="005444E9" w:rsidRDefault="006F3DD8"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29.04.2021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r w:rsidRPr="005444E9">
        <w:rPr>
          <w:sz w:val="22"/>
          <w:szCs w:val="22"/>
        </w:rPr>
        <w:t xml:space="preserve">Годишен консолидиран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 за 2020 г.</w:t>
      </w:r>
    </w:p>
    <w:p w:rsidR="00A04923" w:rsidRPr="005444E9" w:rsidRDefault="00A04923"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07.05.2021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4" w:history="1">
        <w:r w:rsidRPr="005444E9">
          <w:rPr>
            <w:sz w:val="22"/>
            <w:szCs w:val="22"/>
          </w:rPr>
          <w:t xml:space="preserve"> Покана за свикване на общо събрание на акционерите и материали за общо събрание на акционерите</w:t>
        </w:r>
      </w:hyperlink>
      <w:r w:rsidRPr="005444E9">
        <w:rPr>
          <w:sz w:val="22"/>
          <w:szCs w:val="22"/>
        </w:rPr>
        <w:t>.</w:t>
      </w:r>
    </w:p>
    <w:p w:rsidR="00A04923" w:rsidRPr="005444E9" w:rsidRDefault="00A04923"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13.05.2021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5" w:history="1">
        <w:r w:rsidRPr="005444E9">
          <w:rPr>
            <w:sz w:val="22"/>
            <w:szCs w:val="22"/>
          </w:rPr>
          <w:t xml:space="preserve"> Публикация на покана за свикване на общо събрание на акционерите. </w:t>
        </w:r>
      </w:hyperlink>
    </w:p>
    <w:p w:rsidR="007B79E0" w:rsidRPr="005444E9" w:rsidRDefault="007B79E0"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20.05.2021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6" w:history="1">
        <w:r w:rsidRPr="005444E9">
          <w:rPr>
            <w:sz w:val="22"/>
            <w:szCs w:val="22"/>
          </w:rPr>
          <w:t xml:space="preserve"> Покана за свикване на общо събрание на акционерите и материали за общо събрание на акционерите</w:t>
        </w:r>
      </w:hyperlink>
      <w:r w:rsidRPr="005444E9">
        <w:rPr>
          <w:sz w:val="22"/>
          <w:szCs w:val="22"/>
        </w:rPr>
        <w:t>.</w:t>
      </w:r>
    </w:p>
    <w:p w:rsidR="007B79E0" w:rsidRPr="005444E9" w:rsidRDefault="007B79E0"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21.05.2021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7" w:history="1">
        <w:r w:rsidRPr="005444E9">
          <w:rPr>
            <w:sz w:val="22"/>
            <w:szCs w:val="22"/>
          </w:rPr>
          <w:t xml:space="preserve"> Публикация на покана за свикване на общо събрание на акционерите. </w:t>
        </w:r>
      </w:hyperlink>
    </w:p>
    <w:p w:rsidR="007B79E0" w:rsidRPr="005444E9" w:rsidRDefault="007B79E0" w:rsidP="005444E9">
      <w:pPr>
        <w:spacing w:line="360" w:lineRule="auto"/>
        <w:jc w:val="both"/>
        <w:rPr>
          <w:bCs/>
          <w:color w:val="000000"/>
          <w:sz w:val="22"/>
          <w:szCs w:val="22"/>
        </w:rPr>
      </w:pPr>
      <w:r w:rsidRPr="005444E9">
        <w:rPr>
          <w:rFonts w:eastAsia="Calibri"/>
          <w:sz w:val="22"/>
          <w:szCs w:val="22"/>
          <w:lang w:eastAsia="en-US"/>
        </w:rPr>
        <w:t xml:space="preserve">На </w:t>
      </w:r>
      <w:r w:rsidRPr="005444E9">
        <w:rPr>
          <w:rFonts w:eastAsia="Calibri"/>
          <w:b/>
          <w:bCs/>
          <w:sz w:val="22"/>
          <w:szCs w:val="22"/>
          <w:lang w:eastAsia="en-US"/>
        </w:rPr>
        <w:t>31.05.2021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r w:rsidRPr="005444E9">
        <w:rPr>
          <w:bCs/>
          <w:color w:val="000000"/>
          <w:sz w:val="22"/>
          <w:szCs w:val="22"/>
        </w:rPr>
        <w:t xml:space="preserve">Тримесечен консолидиран отчет на публично дружество и </w:t>
      </w:r>
      <w:proofErr w:type="spellStart"/>
      <w:r w:rsidRPr="005444E9">
        <w:rPr>
          <w:bCs/>
          <w:color w:val="000000"/>
          <w:sz w:val="22"/>
          <w:szCs w:val="22"/>
        </w:rPr>
        <w:t>емитент</w:t>
      </w:r>
      <w:proofErr w:type="spellEnd"/>
      <w:r w:rsidRPr="005444E9">
        <w:rPr>
          <w:bCs/>
          <w:color w:val="000000"/>
          <w:sz w:val="22"/>
          <w:szCs w:val="22"/>
        </w:rPr>
        <w:t xml:space="preserve"> на ценни книжа за първо тримесечие на 2021 г.</w:t>
      </w:r>
    </w:p>
    <w:p w:rsidR="0053485A" w:rsidRPr="005444E9" w:rsidRDefault="0053485A"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22.06.2021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е представило пред КФН, БФБ и обществеността</w:t>
      </w:r>
      <w:r w:rsidRPr="005444E9">
        <w:rPr>
          <w:sz w:val="22"/>
          <w:szCs w:val="22"/>
        </w:rPr>
        <w:t xml:space="preserve"> Годишен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 за 2020 г., с добавена декларация</w:t>
      </w:r>
      <w:r w:rsidR="002D5E5C" w:rsidRPr="005444E9">
        <w:rPr>
          <w:sz w:val="22"/>
          <w:szCs w:val="22"/>
        </w:rPr>
        <w:t xml:space="preserve"> за корпоративно управление.</w:t>
      </w:r>
    </w:p>
    <w:p w:rsidR="002D5E5C" w:rsidRPr="005444E9" w:rsidRDefault="002D5E5C"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24.06.2021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е представило пред КФН, БФБ и обществеността</w:t>
      </w:r>
      <w:r w:rsidRPr="005444E9">
        <w:rPr>
          <w:sz w:val="22"/>
          <w:szCs w:val="22"/>
        </w:rPr>
        <w:t xml:space="preserve"> Протокол от Общо събрание на акционерите</w:t>
      </w:r>
      <w:r w:rsidR="00BC4173" w:rsidRPr="005444E9">
        <w:rPr>
          <w:sz w:val="22"/>
          <w:szCs w:val="22"/>
        </w:rPr>
        <w:t>:</w:t>
      </w:r>
    </w:p>
    <w:p w:rsidR="00BC4173" w:rsidRPr="005444E9" w:rsidRDefault="00BC4173" w:rsidP="005444E9">
      <w:pPr>
        <w:spacing w:line="360" w:lineRule="auto"/>
        <w:ind w:firstLine="708"/>
        <w:jc w:val="both"/>
        <w:rPr>
          <w:bCs/>
          <w:sz w:val="22"/>
          <w:szCs w:val="22"/>
        </w:rPr>
      </w:pPr>
      <w:r w:rsidRPr="005444E9">
        <w:rPr>
          <w:bCs/>
          <w:sz w:val="22"/>
          <w:szCs w:val="22"/>
        </w:rPr>
        <w:t xml:space="preserve">Във връзка с проведеното на 24.06.2021 г. от 11:00 ч. Редовно годишно присъствено заседание на Общото събрание на акционерите на </w:t>
      </w:r>
      <w:r w:rsidRPr="005444E9">
        <w:rPr>
          <w:bCs/>
          <w:color w:val="000000"/>
          <w:sz w:val="22"/>
          <w:szCs w:val="22"/>
        </w:rPr>
        <w:t>ТЕЦ “МАРИЦА 3“ АД</w:t>
      </w:r>
      <w:r w:rsidRPr="005444E9">
        <w:rPr>
          <w:bCs/>
          <w:sz w:val="22"/>
          <w:szCs w:val="22"/>
        </w:rPr>
        <w:t>, гр. Димитровград, Ви уведомяваме за решенията, които бяха приети от акционерите:</w:t>
      </w:r>
    </w:p>
    <w:p w:rsidR="00581960" w:rsidRPr="005444E9" w:rsidRDefault="00581960" w:rsidP="005444E9">
      <w:pPr>
        <w:spacing w:line="360" w:lineRule="auto"/>
        <w:ind w:firstLine="708"/>
        <w:jc w:val="both"/>
        <w:rPr>
          <w:bCs/>
          <w:color w:val="0070C0"/>
          <w:sz w:val="22"/>
          <w:szCs w:val="22"/>
        </w:rPr>
      </w:pPr>
    </w:p>
    <w:p w:rsidR="005444E9" w:rsidRDefault="00377804" w:rsidP="005444E9">
      <w:pPr>
        <w:pStyle w:val="22"/>
        <w:shd w:val="clear" w:color="auto" w:fill="auto"/>
        <w:tabs>
          <w:tab w:val="left" w:pos="5514"/>
        </w:tabs>
        <w:spacing w:before="0" w:line="360" w:lineRule="auto"/>
        <w:ind w:firstLine="780"/>
        <w:rPr>
          <w:rStyle w:val="mw-editsection-bracket"/>
          <w:sz w:val="22"/>
          <w:szCs w:val="22"/>
        </w:rPr>
      </w:pPr>
      <w:r w:rsidRPr="005444E9">
        <w:rPr>
          <w:rStyle w:val="23"/>
          <w:sz w:val="22"/>
          <w:szCs w:val="22"/>
        </w:rPr>
        <w:t>По точка 1 от дневния ред:</w:t>
      </w:r>
      <w:r w:rsidRPr="005444E9">
        <w:rPr>
          <w:rStyle w:val="mw-editsection-bracket"/>
          <w:sz w:val="22"/>
          <w:szCs w:val="22"/>
        </w:rPr>
        <w:t xml:space="preserve"> </w:t>
      </w:r>
    </w:p>
    <w:p w:rsidR="00377804" w:rsidRPr="005444E9" w:rsidRDefault="00377804" w:rsidP="005444E9">
      <w:pPr>
        <w:pStyle w:val="22"/>
        <w:shd w:val="clear" w:color="auto" w:fill="auto"/>
        <w:tabs>
          <w:tab w:val="left" w:pos="5514"/>
        </w:tabs>
        <w:spacing w:before="0" w:line="360" w:lineRule="auto"/>
        <w:ind w:firstLine="0"/>
        <w:rPr>
          <w:sz w:val="22"/>
          <w:szCs w:val="22"/>
        </w:rPr>
      </w:pPr>
      <w:r w:rsidRPr="005444E9">
        <w:rPr>
          <w:sz w:val="22"/>
          <w:szCs w:val="22"/>
        </w:rPr>
        <w:t>Председателят на заседанието представи на присъстващите годишният доклад за дейността на дружеството през 2020г. и годишният консолидиран доклад за дейността на дружеството през 2020г. След неговото изслушване председателят даде думата на желаещи акционери да се изкажат, зададат въпроси и направят предложения по същество. Такива нямаше. Поради това председателят на РГОСА предложи да се премине към гласуване на проекта за решение.</w:t>
      </w:r>
    </w:p>
    <w:p w:rsidR="00377804" w:rsidRPr="005444E9" w:rsidRDefault="00377804" w:rsidP="005444E9">
      <w:pPr>
        <w:pStyle w:val="22"/>
        <w:shd w:val="clear" w:color="auto" w:fill="auto"/>
        <w:spacing w:before="0" w:after="282" w:line="360" w:lineRule="auto"/>
        <w:ind w:firstLine="800"/>
        <w:rPr>
          <w:sz w:val="22"/>
          <w:szCs w:val="22"/>
        </w:rPr>
      </w:pPr>
      <w:r w:rsidRPr="005444E9">
        <w:rPr>
          <w:sz w:val="22"/>
          <w:szCs w:val="22"/>
        </w:rPr>
        <w:t>РГОСА на основание чл.221, т.11 от ТЗ и Устава взе следното</w:t>
      </w:r>
    </w:p>
    <w:p w:rsidR="009229DE" w:rsidRPr="005444E9" w:rsidRDefault="009229DE" w:rsidP="005444E9">
      <w:pPr>
        <w:pStyle w:val="22"/>
        <w:shd w:val="clear" w:color="auto" w:fill="auto"/>
        <w:spacing w:before="0" w:after="282" w:line="360" w:lineRule="auto"/>
        <w:ind w:firstLine="800"/>
        <w:rPr>
          <w:sz w:val="22"/>
          <w:szCs w:val="22"/>
        </w:rPr>
      </w:pPr>
      <w:r w:rsidRPr="005444E9">
        <w:rPr>
          <w:sz w:val="22"/>
          <w:szCs w:val="22"/>
        </w:rPr>
        <w:lastRenderedPageBreak/>
        <w:t>РЕШЕНИЕ № 1</w:t>
      </w:r>
    </w:p>
    <w:p w:rsidR="00581960" w:rsidRPr="005444E9" w:rsidRDefault="009229DE" w:rsidP="005444E9">
      <w:pPr>
        <w:spacing w:line="360" w:lineRule="auto"/>
        <w:jc w:val="both"/>
        <w:rPr>
          <w:rStyle w:val="4"/>
          <w:rFonts w:eastAsiaTheme="minorHAnsi"/>
          <w:b w:val="0"/>
          <w:bCs w:val="0"/>
          <w:sz w:val="22"/>
          <w:szCs w:val="22"/>
        </w:rPr>
      </w:pPr>
      <w:bookmarkStart w:id="0" w:name="bookmark6"/>
      <w:r w:rsidRPr="005444E9">
        <w:rPr>
          <w:rStyle w:val="4"/>
          <w:rFonts w:eastAsiaTheme="minorHAnsi"/>
          <w:b w:val="0"/>
          <w:bCs w:val="0"/>
          <w:sz w:val="22"/>
          <w:szCs w:val="22"/>
        </w:rPr>
        <w:t>ПРИЕМА годишния доклад за дейността на дружеството през 2020г. и годишният консолидиран доклад за дейността на дружеството през 2020г.</w:t>
      </w:r>
      <w:bookmarkEnd w:id="0"/>
    </w:p>
    <w:p w:rsidR="005444E9" w:rsidRDefault="005444E9" w:rsidP="005444E9">
      <w:pPr>
        <w:spacing w:line="360" w:lineRule="auto"/>
        <w:ind w:firstLine="708"/>
        <w:jc w:val="both"/>
        <w:rPr>
          <w:rStyle w:val="23"/>
          <w:rFonts w:eastAsiaTheme="minorHAnsi"/>
          <w:sz w:val="22"/>
          <w:szCs w:val="22"/>
        </w:rPr>
      </w:pPr>
    </w:p>
    <w:p w:rsidR="00377804" w:rsidRPr="005444E9" w:rsidRDefault="009229DE" w:rsidP="005444E9">
      <w:pPr>
        <w:spacing w:line="360" w:lineRule="auto"/>
        <w:ind w:firstLine="708"/>
        <w:jc w:val="both"/>
        <w:rPr>
          <w:rStyle w:val="23"/>
          <w:rFonts w:eastAsiaTheme="minorHAnsi"/>
          <w:sz w:val="22"/>
          <w:szCs w:val="22"/>
        </w:rPr>
      </w:pPr>
      <w:r w:rsidRPr="005444E9">
        <w:rPr>
          <w:rStyle w:val="23"/>
          <w:rFonts w:eastAsiaTheme="minorHAnsi"/>
          <w:sz w:val="22"/>
          <w:szCs w:val="22"/>
        </w:rPr>
        <w:t>По точка 2 от дневния ред:</w:t>
      </w:r>
    </w:p>
    <w:p w:rsidR="009229DE" w:rsidRPr="005444E9" w:rsidRDefault="009229DE" w:rsidP="005444E9">
      <w:pPr>
        <w:spacing w:line="360" w:lineRule="auto"/>
        <w:jc w:val="both"/>
        <w:rPr>
          <w:sz w:val="22"/>
          <w:szCs w:val="22"/>
        </w:rPr>
      </w:pPr>
      <w:r w:rsidRPr="005444E9">
        <w:rPr>
          <w:sz w:val="22"/>
          <w:szCs w:val="22"/>
        </w:rPr>
        <w:t>Председателят на събранието представи на присъстващите Доклада на дипломирания експерт-счетоводител за извършената проверка на годишният финансов отчет за 2020г. и годишният консолидиран финансов отчет за 2020г. на дружеството. След неговото изслушване председателят даде думата на желаещи акционери да се изкажат, зададат въпроси и направят предложения по същество. Такива нямаше. Поради това председателят на РГОСА предложи да се премине към гласуване на проекта за решение</w:t>
      </w:r>
    </w:p>
    <w:p w:rsidR="001A3077" w:rsidRPr="005444E9" w:rsidRDefault="001A3077" w:rsidP="005444E9">
      <w:pPr>
        <w:pStyle w:val="22"/>
        <w:shd w:val="clear" w:color="auto" w:fill="auto"/>
        <w:spacing w:before="0" w:after="342" w:line="360" w:lineRule="auto"/>
        <w:ind w:firstLine="800"/>
        <w:rPr>
          <w:sz w:val="22"/>
          <w:szCs w:val="22"/>
        </w:rPr>
      </w:pPr>
      <w:r w:rsidRPr="005444E9">
        <w:rPr>
          <w:sz w:val="22"/>
          <w:szCs w:val="22"/>
        </w:rPr>
        <w:t xml:space="preserve">РГОСА на основание чл.221, т.11 от ТЗ и Устава взе следното </w:t>
      </w:r>
    </w:p>
    <w:p w:rsidR="009229DE" w:rsidRPr="005444E9" w:rsidRDefault="009229DE" w:rsidP="005444E9">
      <w:pPr>
        <w:pStyle w:val="22"/>
        <w:shd w:val="clear" w:color="auto" w:fill="auto"/>
        <w:spacing w:before="0" w:after="342" w:line="360" w:lineRule="auto"/>
        <w:ind w:firstLine="800"/>
        <w:rPr>
          <w:sz w:val="22"/>
          <w:szCs w:val="22"/>
        </w:rPr>
      </w:pPr>
      <w:r w:rsidRPr="005444E9">
        <w:rPr>
          <w:sz w:val="22"/>
          <w:szCs w:val="22"/>
        </w:rPr>
        <w:t>РЕШЕНИЕ № 2</w:t>
      </w:r>
    </w:p>
    <w:p w:rsidR="001A3077" w:rsidRPr="005444E9" w:rsidRDefault="001A3077" w:rsidP="005444E9">
      <w:pPr>
        <w:pStyle w:val="32"/>
        <w:shd w:val="clear" w:color="auto" w:fill="auto"/>
        <w:spacing w:after="0" w:line="360" w:lineRule="auto"/>
        <w:jc w:val="both"/>
        <w:rPr>
          <w:rFonts w:eastAsiaTheme="minorHAnsi"/>
          <w:b w:val="0"/>
          <w:bCs w:val="0"/>
          <w:sz w:val="22"/>
          <w:szCs w:val="22"/>
          <w:lang w:eastAsia="bg-BG"/>
        </w:rPr>
      </w:pPr>
      <w:r w:rsidRPr="005444E9">
        <w:rPr>
          <w:rFonts w:eastAsiaTheme="minorHAnsi"/>
          <w:b w:val="0"/>
          <w:bCs w:val="0"/>
          <w:sz w:val="22"/>
          <w:szCs w:val="22"/>
          <w:lang w:eastAsia="bg-BG"/>
        </w:rPr>
        <w:t>ПРИЕМА доклада на дипломирания експерт-счетоводител за извършената проверка на годишния финансов отчет за 2020г. и годишният консолидиран финансов отчет за 2020г.</w:t>
      </w:r>
    </w:p>
    <w:p w:rsidR="001A3077" w:rsidRPr="005444E9" w:rsidRDefault="001A3077" w:rsidP="005444E9">
      <w:pPr>
        <w:pStyle w:val="32"/>
        <w:shd w:val="clear" w:color="auto" w:fill="auto"/>
        <w:spacing w:after="0" w:line="360" w:lineRule="auto"/>
        <w:jc w:val="both"/>
        <w:rPr>
          <w:rFonts w:eastAsiaTheme="minorHAnsi"/>
          <w:b w:val="0"/>
          <w:bCs w:val="0"/>
          <w:sz w:val="22"/>
          <w:szCs w:val="22"/>
          <w:lang w:eastAsia="bg-BG"/>
        </w:rPr>
      </w:pPr>
    </w:p>
    <w:p w:rsidR="001A3077" w:rsidRPr="005444E9" w:rsidRDefault="001A3077" w:rsidP="005444E9">
      <w:pPr>
        <w:spacing w:line="360" w:lineRule="auto"/>
        <w:ind w:firstLine="708"/>
        <w:jc w:val="both"/>
        <w:rPr>
          <w:rStyle w:val="23"/>
          <w:rFonts w:eastAsiaTheme="minorHAnsi"/>
          <w:sz w:val="22"/>
          <w:szCs w:val="22"/>
        </w:rPr>
      </w:pPr>
      <w:r w:rsidRPr="005444E9">
        <w:rPr>
          <w:rStyle w:val="23"/>
          <w:rFonts w:eastAsiaTheme="minorHAnsi"/>
          <w:sz w:val="22"/>
          <w:szCs w:val="22"/>
        </w:rPr>
        <w:t>По точка 3 от дневния ред:</w:t>
      </w:r>
    </w:p>
    <w:p w:rsidR="001A3077" w:rsidRPr="005444E9" w:rsidRDefault="001A3077" w:rsidP="005444E9">
      <w:pPr>
        <w:pStyle w:val="22"/>
        <w:shd w:val="clear" w:color="auto" w:fill="auto"/>
        <w:spacing w:before="0" w:line="360" w:lineRule="auto"/>
        <w:ind w:firstLine="0"/>
        <w:rPr>
          <w:sz w:val="22"/>
          <w:szCs w:val="22"/>
        </w:rPr>
      </w:pPr>
      <w:r w:rsidRPr="005444E9">
        <w:rPr>
          <w:sz w:val="22"/>
          <w:szCs w:val="22"/>
        </w:rPr>
        <w:t>Председателят на заседанието представи на присъстващите за одобряване и приемане годишният</w:t>
      </w:r>
      <w:r w:rsidRPr="005444E9">
        <w:rPr>
          <w:rStyle w:val="mw-editsection-bracket"/>
          <w:sz w:val="22"/>
          <w:szCs w:val="22"/>
        </w:rPr>
        <w:t xml:space="preserve"> </w:t>
      </w:r>
      <w:r w:rsidRPr="005444E9">
        <w:rPr>
          <w:sz w:val="22"/>
          <w:szCs w:val="22"/>
        </w:rPr>
        <w:t>финансов отчет за 2020г. и годишният консолидиран финансов отчет за 2020г. на дружеството. След неговото изслушване председателят даде думата на желаещи акционери да се изкажат, зададат въпроси и направят предложения по същество. Такива нямаше. Поради това председателят на РГОСА предложи да се премине към гласуване на проекта за решение.</w:t>
      </w:r>
    </w:p>
    <w:p w:rsidR="001A3077" w:rsidRPr="005444E9" w:rsidRDefault="001A3077" w:rsidP="005444E9">
      <w:pPr>
        <w:pStyle w:val="22"/>
        <w:shd w:val="clear" w:color="auto" w:fill="auto"/>
        <w:spacing w:before="0" w:after="342" w:line="360" w:lineRule="auto"/>
        <w:ind w:firstLine="800"/>
        <w:rPr>
          <w:sz w:val="22"/>
          <w:szCs w:val="22"/>
        </w:rPr>
      </w:pPr>
      <w:r w:rsidRPr="005444E9">
        <w:rPr>
          <w:sz w:val="22"/>
          <w:szCs w:val="22"/>
        </w:rPr>
        <w:t>РГОСА на основание чл.221, т.</w:t>
      </w:r>
      <w:r w:rsidR="005444E9" w:rsidRPr="005444E9">
        <w:rPr>
          <w:sz w:val="22"/>
          <w:szCs w:val="22"/>
        </w:rPr>
        <w:t>7</w:t>
      </w:r>
      <w:r w:rsidRPr="005444E9">
        <w:rPr>
          <w:sz w:val="22"/>
          <w:szCs w:val="22"/>
        </w:rPr>
        <w:t xml:space="preserve"> от ТЗ и Устава взе следното</w:t>
      </w:r>
    </w:p>
    <w:p w:rsidR="001A3077" w:rsidRPr="005444E9" w:rsidRDefault="001A3077" w:rsidP="005444E9">
      <w:pPr>
        <w:pStyle w:val="22"/>
        <w:shd w:val="clear" w:color="auto" w:fill="auto"/>
        <w:spacing w:before="0" w:after="342" w:line="360" w:lineRule="auto"/>
        <w:ind w:firstLine="800"/>
        <w:rPr>
          <w:sz w:val="22"/>
          <w:szCs w:val="22"/>
        </w:rPr>
      </w:pPr>
      <w:r w:rsidRPr="005444E9">
        <w:rPr>
          <w:sz w:val="22"/>
          <w:szCs w:val="22"/>
        </w:rPr>
        <w:t>РЕШЕНИЕ № 3</w:t>
      </w:r>
    </w:p>
    <w:p w:rsidR="00255148" w:rsidRPr="005444E9" w:rsidRDefault="00255148" w:rsidP="005444E9">
      <w:pPr>
        <w:pStyle w:val="22"/>
        <w:shd w:val="clear" w:color="auto" w:fill="auto"/>
        <w:spacing w:before="0" w:after="342" w:line="360" w:lineRule="auto"/>
        <w:ind w:firstLine="0"/>
        <w:rPr>
          <w:sz w:val="22"/>
          <w:szCs w:val="22"/>
        </w:rPr>
      </w:pPr>
      <w:r w:rsidRPr="005444E9">
        <w:rPr>
          <w:sz w:val="22"/>
          <w:szCs w:val="22"/>
        </w:rPr>
        <w:t>ОДОБРЯВА и ПРИЕМА годишният финансов отчет за 2020г. и годишният консолидиран финансов отчет за 2020г.</w:t>
      </w:r>
    </w:p>
    <w:p w:rsidR="00255148" w:rsidRPr="005444E9" w:rsidRDefault="00255148" w:rsidP="005444E9">
      <w:pPr>
        <w:spacing w:line="360" w:lineRule="auto"/>
        <w:ind w:firstLine="708"/>
        <w:jc w:val="both"/>
        <w:rPr>
          <w:rStyle w:val="23"/>
          <w:rFonts w:eastAsiaTheme="minorHAnsi"/>
          <w:sz w:val="22"/>
          <w:szCs w:val="22"/>
        </w:rPr>
      </w:pPr>
      <w:r w:rsidRPr="005444E9">
        <w:rPr>
          <w:rStyle w:val="23"/>
          <w:rFonts w:eastAsiaTheme="minorHAnsi"/>
          <w:sz w:val="22"/>
          <w:szCs w:val="22"/>
        </w:rPr>
        <w:t>По точка 4 от дневния ред:</w:t>
      </w:r>
    </w:p>
    <w:p w:rsidR="00255148" w:rsidRPr="005444E9" w:rsidRDefault="00255148" w:rsidP="005444E9">
      <w:pPr>
        <w:pStyle w:val="22"/>
        <w:shd w:val="clear" w:color="auto" w:fill="auto"/>
        <w:spacing w:before="0" w:after="342" w:line="360" w:lineRule="auto"/>
        <w:ind w:firstLine="0"/>
        <w:rPr>
          <w:sz w:val="22"/>
          <w:szCs w:val="22"/>
        </w:rPr>
      </w:pPr>
      <w:r w:rsidRPr="005444E9">
        <w:rPr>
          <w:sz w:val="22"/>
          <w:szCs w:val="22"/>
        </w:rPr>
        <w:t xml:space="preserve">Председателят на заседанието представи на присъстващите Годишният доклад за дейността на </w:t>
      </w:r>
      <w:proofErr w:type="spellStart"/>
      <w:r w:rsidRPr="005444E9">
        <w:rPr>
          <w:sz w:val="22"/>
          <w:szCs w:val="22"/>
        </w:rPr>
        <w:t>одитния</w:t>
      </w:r>
      <w:proofErr w:type="spellEnd"/>
      <w:r w:rsidRPr="005444E9">
        <w:rPr>
          <w:sz w:val="22"/>
          <w:szCs w:val="22"/>
        </w:rPr>
        <w:t xml:space="preserve"> комитет за 2020г.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редовното годишно ОСА предложи да се премине към гласуване на проекта за решение.</w:t>
      </w:r>
    </w:p>
    <w:p w:rsidR="00255148" w:rsidRPr="005444E9" w:rsidRDefault="00255148" w:rsidP="005444E9">
      <w:pPr>
        <w:pStyle w:val="22"/>
        <w:shd w:val="clear" w:color="auto" w:fill="auto"/>
        <w:spacing w:before="0" w:after="342" w:line="360" w:lineRule="auto"/>
        <w:ind w:firstLine="800"/>
        <w:rPr>
          <w:sz w:val="22"/>
          <w:szCs w:val="22"/>
        </w:rPr>
      </w:pPr>
      <w:r w:rsidRPr="005444E9">
        <w:rPr>
          <w:sz w:val="22"/>
          <w:szCs w:val="22"/>
        </w:rPr>
        <w:t>РГОСА на основание чл.221, т.11 от ТЗ и Устава взе следното</w:t>
      </w:r>
    </w:p>
    <w:p w:rsidR="00255148" w:rsidRPr="005444E9" w:rsidRDefault="00255148" w:rsidP="005444E9">
      <w:pPr>
        <w:pStyle w:val="22"/>
        <w:shd w:val="clear" w:color="auto" w:fill="auto"/>
        <w:spacing w:before="0" w:after="342" w:line="360" w:lineRule="auto"/>
        <w:ind w:firstLine="708"/>
        <w:rPr>
          <w:sz w:val="22"/>
          <w:szCs w:val="22"/>
        </w:rPr>
      </w:pPr>
      <w:r w:rsidRPr="005444E9">
        <w:rPr>
          <w:sz w:val="22"/>
          <w:szCs w:val="22"/>
        </w:rPr>
        <w:lastRenderedPageBreak/>
        <w:t>РЕШЕНИЕ № 4</w:t>
      </w:r>
    </w:p>
    <w:p w:rsidR="00255148" w:rsidRPr="005444E9" w:rsidRDefault="00255148" w:rsidP="005444E9">
      <w:pPr>
        <w:spacing w:line="360" w:lineRule="auto"/>
        <w:rPr>
          <w:rStyle w:val="4"/>
          <w:rFonts w:eastAsiaTheme="minorHAnsi"/>
          <w:b w:val="0"/>
          <w:bCs w:val="0"/>
          <w:sz w:val="22"/>
          <w:szCs w:val="22"/>
        </w:rPr>
      </w:pPr>
      <w:bookmarkStart w:id="1" w:name="bookmark11"/>
      <w:r w:rsidRPr="005444E9">
        <w:rPr>
          <w:rStyle w:val="4"/>
          <w:rFonts w:eastAsiaTheme="minorHAnsi"/>
          <w:b w:val="0"/>
          <w:bCs w:val="0"/>
          <w:sz w:val="22"/>
          <w:szCs w:val="22"/>
        </w:rPr>
        <w:t xml:space="preserve">ПРИЕМА годишният доклад за дейността на </w:t>
      </w:r>
      <w:proofErr w:type="spellStart"/>
      <w:r w:rsidRPr="005444E9">
        <w:rPr>
          <w:rStyle w:val="4"/>
          <w:rFonts w:eastAsiaTheme="minorHAnsi"/>
          <w:b w:val="0"/>
          <w:bCs w:val="0"/>
          <w:sz w:val="22"/>
          <w:szCs w:val="22"/>
        </w:rPr>
        <w:t>одитния</w:t>
      </w:r>
      <w:proofErr w:type="spellEnd"/>
      <w:r w:rsidRPr="005444E9">
        <w:rPr>
          <w:rStyle w:val="4"/>
          <w:rFonts w:eastAsiaTheme="minorHAnsi"/>
          <w:b w:val="0"/>
          <w:bCs w:val="0"/>
          <w:sz w:val="22"/>
          <w:szCs w:val="22"/>
        </w:rPr>
        <w:t xml:space="preserve"> комитет за 2020г.</w:t>
      </w:r>
      <w:bookmarkEnd w:id="1"/>
    </w:p>
    <w:p w:rsidR="00255148" w:rsidRPr="005444E9" w:rsidRDefault="00255148" w:rsidP="005444E9">
      <w:pPr>
        <w:spacing w:line="360" w:lineRule="auto"/>
        <w:rPr>
          <w:sz w:val="22"/>
          <w:szCs w:val="22"/>
        </w:rPr>
      </w:pPr>
    </w:p>
    <w:p w:rsidR="00255148" w:rsidRPr="005444E9" w:rsidRDefault="00255148" w:rsidP="005444E9">
      <w:pPr>
        <w:pStyle w:val="22"/>
        <w:shd w:val="clear" w:color="auto" w:fill="auto"/>
        <w:spacing w:before="0" w:after="342" w:line="360" w:lineRule="auto"/>
        <w:ind w:firstLine="708"/>
        <w:rPr>
          <w:rStyle w:val="23"/>
          <w:sz w:val="22"/>
          <w:szCs w:val="22"/>
        </w:rPr>
      </w:pPr>
      <w:r w:rsidRPr="005444E9">
        <w:rPr>
          <w:rStyle w:val="23"/>
          <w:sz w:val="22"/>
          <w:szCs w:val="22"/>
        </w:rPr>
        <w:t xml:space="preserve">По точка </w:t>
      </w:r>
      <w:r w:rsidRPr="005444E9">
        <w:rPr>
          <w:rStyle w:val="23"/>
          <w:rFonts w:eastAsiaTheme="minorHAnsi"/>
          <w:sz w:val="22"/>
          <w:szCs w:val="22"/>
        </w:rPr>
        <w:t>5</w:t>
      </w:r>
      <w:r w:rsidRPr="005444E9">
        <w:rPr>
          <w:rStyle w:val="23"/>
          <w:sz w:val="22"/>
          <w:szCs w:val="22"/>
        </w:rPr>
        <w:t xml:space="preserve"> от дневния ред:</w:t>
      </w:r>
    </w:p>
    <w:p w:rsidR="005444E9" w:rsidRDefault="00255148" w:rsidP="005444E9">
      <w:pPr>
        <w:pStyle w:val="22"/>
        <w:shd w:val="clear" w:color="auto" w:fill="auto"/>
        <w:spacing w:before="0" w:after="342" w:line="360" w:lineRule="auto"/>
        <w:ind w:firstLine="0"/>
        <w:rPr>
          <w:sz w:val="22"/>
          <w:szCs w:val="22"/>
        </w:rPr>
      </w:pPr>
      <w:r w:rsidRPr="005444E9">
        <w:rPr>
          <w:sz w:val="22"/>
          <w:szCs w:val="22"/>
        </w:rPr>
        <w:t>Председателят на зас</w:t>
      </w:r>
      <w:r w:rsidR="007C2556" w:rsidRPr="005444E9">
        <w:rPr>
          <w:sz w:val="22"/>
          <w:szCs w:val="22"/>
        </w:rPr>
        <w:t>еданието представи на присъстващ</w:t>
      </w:r>
      <w:r w:rsidRPr="005444E9">
        <w:rPr>
          <w:sz w:val="22"/>
          <w:szCs w:val="22"/>
        </w:rPr>
        <w:t xml:space="preserve">ите предложението на </w:t>
      </w:r>
      <w:proofErr w:type="spellStart"/>
      <w:r w:rsidRPr="005444E9">
        <w:rPr>
          <w:sz w:val="22"/>
          <w:szCs w:val="22"/>
        </w:rPr>
        <w:t>Одитния</w:t>
      </w:r>
      <w:proofErr w:type="spellEnd"/>
      <w:r w:rsidRPr="005444E9">
        <w:rPr>
          <w:sz w:val="22"/>
          <w:szCs w:val="22"/>
        </w:rPr>
        <w:t xml:space="preserve"> комитет за регистриран </w:t>
      </w:r>
      <w:proofErr w:type="spellStart"/>
      <w:r w:rsidRPr="005444E9">
        <w:rPr>
          <w:sz w:val="22"/>
          <w:szCs w:val="22"/>
        </w:rPr>
        <w:t>одитор</w:t>
      </w:r>
      <w:proofErr w:type="spellEnd"/>
      <w:r w:rsidRPr="005444E9">
        <w:rPr>
          <w:sz w:val="22"/>
          <w:szCs w:val="22"/>
        </w:rPr>
        <w:t xml:space="preserve"> за 2021г. да бъде избрано </w:t>
      </w:r>
      <w:proofErr w:type="spellStart"/>
      <w:r w:rsidRPr="005444E9">
        <w:rPr>
          <w:sz w:val="22"/>
          <w:szCs w:val="22"/>
        </w:rPr>
        <w:t>Одиторско</w:t>
      </w:r>
      <w:proofErr w:type="spellEnd"/>
      <w:r w:rsidRPr="005444E9">
        <w:rPr>
          <w:sz w:val="22"/>
          <w:szCs w:val="22"/>
        </w:rPr>
        <w:t xml:space="preserve"> дружество - “ЕКОВИС ОДИТ БЪЛГАРИЯ” ООД - </w:t>
      </w:r>
      <w:r w:rsidRPr="005444E9">
        <w:rPr>
          <w:sz w:val="22"/>
          <w:szCs w:val="22"/>
          <w:lang w:val="en-US" w:bidi="en-US"/>
        </w:rPr>
        <w:t xml:space="preserve">per. </w:t>
      </w:r>
      <w:r w:rsidRPr="005444E9">
        <w:rPr>
          <w:sz w:val="22"/>
          <w:szCs w:val="22"/>
        </w:rPr>
        <w:t>№ 114. След това Председателят даде думата на желаещите акционе</w:t>
      </w:r>
      <w:r w:rsidR="007C2556" w:rsidRPr="005444E9">
        <w:rPr>
          <w:sz w:val="22"/>
          <w:szCs w:val="22"/>
        </w:rPr>
        <w:t>ри да с</w:t>
      </w:r>
      <w:r w:rsidRPr="005444E9">
        <w:rPr>
          <w:sz w:val="22"/>
          <w:szCs w:val="22"/>
        </w:rPr>
        <w:t>е изкажат, зададат въпроси и направят предл</w:t>
      </w:r>
      <w:r w:rsidR="007C2556" w:rsidRPr="005444E9">
        <w:rPr>
          <w:sz w:val="22"/>
          <w:szCs w:val="22"/>
        </w:rPr>
        <w:t>ожения по същество. Такива нямаш</w:t>
      </w:r>
      <w:r w:rsidRPr="005444E9">
        <w:rPr>
          <w:sz w:val="22"/>
          <w:szCs w:val="22"/>
        </w:rPr>
        <w:t xml:space="preserve">е. Поради това </w:t>
      </w:r>
      <w:r w:rsidR="007C2556" w:rsidRPr="005444E9">
        <w:rPr>
          <w:sz w:val="22"/>
          <w:szCs w:val="22"/>
        </w:rPr>
        <w:t>председателят на редовното годиш</w:t>
      </w:r>
      <w:r w:rsidRPr="005444E9">
        <w:rPr>
          <w:sz w:val="22"/>
          <w:szCs w:val="22"/>
        </w:rPr>
        <w:t xml:space="preserve">но ОСА предложи да се премине към гласуване на постъпилото от </w:t>
      </w:r>
      <w:proofErr w:type="spellStart"/>
      <w:r w:rsidRPr="005444E9">
        <w:rPr>
          <w:sz w:val="22"/>
          <w:szCs w:val="22"/>
        </w:rPr>
        <w:t>Одитния</w:t>
      </w:r>
      <w:proofErr w:type="spellEnd"/>
      <w:r w:rsidRPr="005444E9">
        <w:rPr>
          <w:sz w:val="22"/>
          <w:szCs w:val="22"/>
        </w:rPr>
        <w:t xml:space="preserve"> комитет предложение</w:t>
      </w:r>
    </w:p>
    <w:p w:rsidR="007C2556" w:rsidRPr="005444E9" w:rsidRDefault="007C2556" w:rsidP="005444E9">
      <w:pPr>
        <w:pStyle w:val="22"/>
        <w:shd w:val="clear" w:color="auto" w:fill="auto"/>
        <w:spacing w:before="0" w:after="342" w:line="360" w:lineRule="auto"/>
        <w:ind w:firstLine="708"/>
        <w:rPr>
          <w:sz w:val="22"/>
          <w:szCs w:val="22"/>
        </w:rPr>
      </w:pPr>
      <w:r w:rsidRPr="005444E9">
        <w:rPr>
          <w:sz w:val="22"/>
          <w:szCs w:val="22"/>
        </w:rPr>
        <w:t>РГОСА на основание чл.221, т.</w:t>
      </w:r>
      <w:r w:rsidR="005444E9" w:rsidRPr="005444E9">
        <w:rPr>
          <w:sz w:val="22"/>
          <w:szCs w:val="22"/>
        </w:rPr>
        <w:t>6</w:t>
      </w:r>
      <w:r w:rsidRPr="005444E9">
        <w:rPr>
          <w:sz w:val="22"/>
          <w:szCs w:val="22"/>
        </w:rPr>
        <w:t xml:space="preserve"> от ТЗ и Устава взе следното</w:t>
      </w:r>
    </w:p>
    <w:p w:rsidR="007C2556" w:rsidRPr="005444E9" w:rsidRDefault="007C2556" w:rsidP="005444E9">
      <w:pPr>
        <w:pStyle w:val="22"/>
        <w:shd w:val="clear" w:color="auto" w:fill="auto"/>
        <w:spacing w:before="0" w:after="342" w:line="360" w:lineRule="auto"/>
        <w:ind w:firstLine="708"/>
        <w:rPr>
          <w:sz w:val="22"/>
          <w:szCs w:val="22"/>
        </w:rPr>
      </w:pPr>
      <w:r w:rsidRPr="005444E9">
        <w:rPr>
          <w:sz w:val="22"/>
          <w:szCs w:val="22"/>
        </w:rPr>
        <w:t>РЕШЕНИЕ № 5</w:t>
      </w:r>
    </w:p>
    <w:p w:rsidR="007C2556" w:rsidRPr="005444E9" w:rsidRDefault="007C2556" w:rsidP="005444E9">
      <w:pPr>
        <w:pStyle w:val="32"/>
        <w:shd w:val="clear" w:color="auto" w:fill="auto"/>
        <w:spacing w:after="0" w:line="360" w:lineRule="auto"/>
        <w:jc w:val="both"/>
        <w:rPr>
          <w:b w:val="0"/>
          <w:bCs w:val="0"/>
          <w:sz w:val="22"/>
          <w:szCs w:val="22"/>
        </w:rPr>
      </w:pPr>
      <w:r w:rsidRPr="005444E9">
        <w:rPr>
          <w:b w:val="0"/>
          <w:bCs w:val="0"/>
          <w:sz w:val="22"/>
          <w:szCs w:val="22"/>
        </w:rPr>
        <w:t xml:space="preserve">ИЗБИРА по предложение на </w:t>
      </w:r>
      <w:proofErr w:type="spellStart"/>
      <w:r w:rsidRPr="005444E9">
        <w:rPr>
          <w:b w:val="0"/>
          <w:bCs w:val="0"/>
          <w:sz w:val="22"/>
          <w:szCs w:val="22"/>
        </w:rPr>
        <w:t>Одитния</w:t>
      </w:r>
      <w:proofErr w:type="spellEnd"/>
      <w:r w:rsidRPr="005444E9">
        <w:rPr>
          <w:b w:val="0"/>
          <w:bCs w:val="0"/>
          <w:sz w:val="22"/>
          <w:szCs w:val="22"/>
        </w:rPr>
        <w:t xml:space="preserve"> комитет, за регистриран </w:t>
      </w:r>
      <w:proofErr w:type="spellStart"/>
      <w:r w:rsidRPr="005444E9">
        <w:rPr>
          <w:b w:val="0"/>
          <w:bCs w:val="0"/>
          <w:sz w:val="22"/>
          <w:szCs w:val="22"/>
        </w:rPr>
        <w:t>одитор</w:t>
      </w:r>
      <w:proofErr w:type="spellEnd"/>
      <w:r w:rsidRPr="005444E9">
        <w:rPr>
          <w:b w:val="0"/>
          <w:bCs w:val="0"/>
          <w:sz w:val="22"/>
          <w:szCs w:val="22"/>
        </w:rPr>
        <w:t xml:space="preserve"> за </w:t>
      </w:r>
      <w:proofErr w:type="spellStart"/>
      <w:r w:rsidRPr="005444E9">
        <w:rPr>
          <w:b w:val="0"/>
          <w:bCs w:val="0"/>
          <w:sz w:val="22"/>
          <w:szCs w:val="22"/>
        </w:rPr>
        <w:t>одитиране</w:t>
      </w:r>
      <w:proofErr w:type="spellEnd"/>
      <w:r w:rsidRPr="005444E9">
        <w:rPr>
          <w:b w:val="0"/>
          <w:bCs w:val="0"/>
          <w:sz w:val="22"/>
          <w:szCs w:val="22"/>
        </w:rPr>
        <w:t xml:space="preserve"> на годишния финансов отчет за 2021г. - </w:t>
      </w:r>
      <w:proofErr w:type="spellStart"/>
      <w:r w:rsidRPr="005444E9">
        <w:rPr>
          <w:b w:val="0"/>
          <w:bCs w:val="0"/>
          <w:sz w:val="22"/>
          <w:szCs w:val="22"/>
        </w:rPr>
        <w:t>Одиторско</w:t>
      </w:r>
      <w:proofErr w:type="spellEnd"/>
      <w:r w:rsidRPr="005444E9">
        <w:rPr>
          <w:b w:val="0"/>
          <w:bCs w:val="0"/>
          <w:sz w:val="22"/>
          <w:szCs w:val="22"/>
        </w:rPr>
        <w:t xml:space="preserve"> дружество “ЕКОВИС ОДИТ БЪЛГАРИЯ” ООД - per. № 114.</w:t>
      </w:r>
    </w:p>
    <w:p w:rsidR="00ED1E1E" w:rsidRPr="005444E9" w:rsidRDefault="00ED1E1E" w:rsidP="005444E9">
      <w:pPr>
        <w:pStyle w:val="32"/>
        <w:shd w:val="clear" w:color="auto" w:fill="auto"/>
        <w:spacing w:after="0" w:line="360" w:lineRule="auto"/>
        <w:jc w:val="both"/>
        <w:rPr>
          <w:b w:val="0"/>
          <w:bCs w:val="0"/>
          <w:sz w:val="22"/>
          <w:szCs w:val="22"/>
        </w:rPr>
      </w:pPr>
    </w:p>
    <w:p w:rsidR="00ED1E1E" w:rsidRPr="005444E9" w:rsidRDefault="00ED1E1E" w:rsidP="005444E9">
      <w:pPr>
        <w:pStyle w:val="22"/>
        <w:shd w:val="clear" w:color="auto" w:fill="auto"/>
        <w:spacing w:before="0" w:after="342" w:line="360" w:lineRule="auto"/>
        <w:ind w:firstLine="708"/>
        <w:rPr>
          <w:rStyle w:val="23"/>
          <w:sz w:val="22"/>
          <w:szCs w:val="22"/>
        </w:rPr>
      </w:pPr>
      <w:r w:rsidRPr="005444E9">
        <w:rPr>
          <w:rStyle w:val="23"/>
          <w:sz w:val="22"/>
          <w:szCs w:val="22"/>
        </w:rPr>
        <w:t xml:space="preserve">По точка </w:t>
      </w:r>
      <w:r w:rsidRPr="005444E9">
        <w:rPr>
          <w:rStyle w:val="23"/>
          <w:rFonts w:eastAsiaTheme="minorHAnsi"/>
          <w:sz w:val="22"/>
          <w:szCs w:val="22"/>
        </w:rPr>
        <w:t>6</w:t>
      </w:r>
      <w:r w:rsidRPr="005444E9">
        <w:rPr>
          <w:rStyle w:val="23"/>
          <w:sz w:val="22"/>
          <w:szCs w:val="22"/>
        </w:rPr>
        <w:t xml:space="preserve"> от дневния ред:</w:t>
      </w:r>
    </w:p>
    <w:p w:rsidR="001018D7" w:rsidRPr="005444E9" w:rsidRDefault="001018D7" w:rsidP="005444E9">
      <w:pPr>
        <w:pStyle w:val="22"/>
        <w:shd w:val="clear" w:color="auto" w:fill="auto"/>
        <w:spacing w:before="0" w:after="342" w:line="360" w:lineRule="auto"/>
        <w:ind w:firstLine="0"/>
        <w:rPr>
          <w:sz w:val="22"/>
          <w:szCs w:val="22"/>
        </w:rPr>
      </w:pPr>
      <w:r w:rsidRPr="005444E9">
        <w:rPr>
          <w:sz w:val="22"/>
          <w:szCs w:val="22"/>
        </w:rPr>
        <w:t xml:space="preserve">Председателят на заседанието запозна присъстващите с предложението на Съвета на директорите, а именно разликата между счетоводната и данъчна загуби за 2020г. да не бъде покривана за сметка на фонд резервен на дружеството. Данъчната загуба да бъде приспадната от бъдеща печалба. Предлага се също така и да не бъдат разпределяни дивиденти и </w:t>
      </w:r>
      <w:proofErr w:type="spellStart"/>
      <w:r w:rsidRPr="005444E9">
        <w:rPr>
          <w:sz w:val="22"/>
          <w:szCs w:val="22"/>
        </w:rPr>
        <w:t>тантиеми</w:t>
      </w:r>
      <w:proofErr w:type="spellEnd"/>
      <w:r w:rsidRPr="005444E9">
        <w:rPr>
          <w:sz w:val="22"/>
          <w:szCs w:val="22"/>
        </w:rPr>
        <w:t>.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РГОСА предложи да се премине към гласуване на постъпилото предложение</w:t>
      </w:r>
    </w:p>
    <w:p w:rsidR="00ED1E1E" w:rsidRPr="005444E9" w:rsidRDefault="00ED1E1E" w:rsidP="005444E9">
      <w:pPr>
        <w:pStyle w:val="22"/>
        <w:shd w:val="clear" w:color="auto" w:fill="auto"/>
        <w:spacing w:before="0" w:after="342" w:line="360" w:lineRule="auto"/>
        <w:ind w:firstLine="800"/>
        <w:rPr>
          <w:sz w:val="22"/>
          <w:szCs w:val="22"/>
        </w:rPr>
      </w:pPr>
      <w:r w:rsidRPr="005444E9">
        <w:rPr>
          <w:sz w:val="22"/>
          <w:szCs w:val="22"/>
        </w:rPr>
        <w:t>РГ</w:t>
      </w:r>
      <w:r w:rsidR="005444E9" w:rsidRPr="005444E9">
        <w:rPr>
          <w:sz w:val="22"/>
          <w:szCs w:val="22"/>
        </w:rPr>
        <w:t>ОСА на основание чл.221, т.7</w:t>
      </w:r>
      <w:r w:rsidRPr="005444E9">
        <w:rPr>
          <w:sz w:val="22"/>
          <w:szCs w:val="22"/>
        </w:rPr>
        <w:t xml:space="preserve"> от ТЗ и Устава взе следното</w:t>
      </w:r>
    </w:p>
    <w:p w:rsidR="00ED1E1E" w:rsidRPr="005444E9" w:rsidRDefault="00ED1E1E" w:rsidP="005444E9">
      <w:pPr>
        <w:pStyle w:val="22"/>
        <w:shd w:val="clear" w:color="auto" w:fill="auto"/>
        <w:spacing w:before="0" w:after="342" w:line="360" w:lineRule="auto"/>
        <w:ind w:firstLine="708"/>
        <w:rPr>
          <w:sz w:val="22"/>
          <w:szCs w:val="22"/>
        </w:rPr>
      </w:pPr>
      <w:r w:rsidRPr="005444E9">
        <w:rPr>
          <w:sz w:val="22"/>
          <w:szCs w:val="22"/>
        </w:rPr>
        <w:t xml:space="preserve">РЕШЕНИЕ № </w:t>
      </w:r>
      <w:r w:rsidR="00476FDD" w:rsidRPr="005444E9">
        <w:rPr>
          <w:sz w:val="22"/>
          <w:szCs w:val="22"/>
        </w:rPr>
        <w:t>6</w:t>
      </w:r>
    </w:p>
    <w:p w:rsidR="00476FDD" w:rsidRPr="005444E9" w:rsidRDefault="00476FDD" w:rsidP="005444E9">
      <w:pPr>
        <w:pStyle w:val="22"/>
        <w:shd w:val="clear" w:color="auto" w:fill="auto"/>
        <w:spacing w:before="0" w:after="342" w:line="360" w:lineRule="auto"/>
        <w:ind w:firstLine="0"/>
        <w:rPr>
          <w:sz w:val="22"/>
          <w:szCs w:val="22"/>
        </w:rPr>
      </w:pPr>
      <w:r w:rsidRPr="005444E9">
        <w:rPr>
          <w:sz w:val="22"/>
          <w:szCs w:val="22"/>
        </w:rPr>
        <w:t xml:space="preserve">Разликата между счетоводната и данъчна загуби за 2020г. да не бъде покривана за сметка на фонд резервен на дружеството. Данъчната загуба да бъде приспадната от бъдеща печалба. Да не бъдат разпределяни дивиденти и </w:t>
      </w:r>
      <w:proofErr w:type="spellStart"/>
      <w:r w:rsidRPr="005444E9">
        <w:rPr>
          <w:sz w:val="22"/>
          <w:szCs w:val="22"/>
        </w:rPr>
        <w:t>тантиеми</w:t>
      </w:r>
      <w:proofErr w:type="spellEnd"/>
    </w:p>
    <w:p w:rsidR="004E328B" w:rsidRDefault="004E328B" w:rsidP="005444E9">
      <w:pPr>
        <w:pStyle w:val="22"/>
        <w:shd w:val="clear" w:color="auto" w:fill="auto"/>
        <w:spacing w:before="0" w:after="342" w:line="360" w:lineRule="auto"/>
        <w:ind w:firstLine="708"/>
        <w:rPr>
          <w:b/>
          <w:bCs/>
          <w:sz w:val="22"/>
          <w:szCs w:val="22"/>
        </w:rPr>
      </w:pPr>
    </w:p>
    <w:p w:rsidR="001018D7" w:rsidRPr="005444E9" w:rsidRDefault="001018D7" w:rsidP="005444E9">
      <w:pPr>
        <w:pStyle w:val="22"/>
        <w:shd w:val="clear" w:color="auto" w:fill="auto"/>
        <w:spacing w:before="0" w:after="342" w:line="360" w:lineRule="auto"/>
        <w:ind w:firstLine="708"/>
        <w:rPr>
          <w:b/>
          <w:bCs/>
          <w:sz w:val="22"/>
          <w:szCs w:val="22"/>
        </w:rPr>
      </w:pPr>
      <w:r w:rsidRPr="005444E9">
        <w:rPr>
          <w:b/>
          <w:bCs/>
          <w:sz w:val="22"/>
          <w:szCs w:val="22"/>
        </w:rPr>
        <w:lastRenderedPageBreak/>
        <w:t xml:space="preserve">По точка </w:t>
      </w:r>
      <w:r w:rsidR="00476FDD" w:rsidRPr="005444E9">
        <w:rPr>
          <w:b/>
          <w:bCs/>
          <w:sz w:val="22"/>
          <w:szCs w:val="22"/>
        </w:rPr>
        <w:t>7</w:t>
      </w:r>
      <w:r w:rsidRPr="005444E9">
        <w:rPr>
          <w:b/>
          <w:bCs/>
          <w:sz w:val="22"/>
          <w:szCs w:val="22"/>
        </w:rPr>
        <w:t xml:space="preserve"> от дневния ред:</w:t>
      </w:r>
    </w:p>
    <w:p w:rsidR="00476FDD" w:rsidRPr="005444E9" w:rsidRDefault="00476FDD" w:rsidP="005444E9">
      <w:pPr>
        <w:pStyle w:val="22"/>
        <w:shd w:val="clear" w:color="auto" w:fill="auto"/>
        <w:spacing w:before="0" w:after="342" w:line="360" w:lineRule="auto"/>
        <w:ind w:firstLine="0"/>
        <w:rPr>
          <w:sz w:val="22"/>
          <w:szCs w:val="22"/>
        </w:rPr>
      </w:pPr>
      <w:r w:rsidRPr="005444E9">
        <w:rPr>
          <w:sz w:val="22"/>
          <w:szCs w:val="22"/>
        </w:rPr>
        <w:t>Председателят на заседанието покани Директора за връзки с инвеститорите г-н Юлиян Семерджиев да представи отчета за дейността си през 2020г.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редовното годишно ОСА предложи да се премине към гласуване на единственото постъпило предложение</w:t>
      </w:r>
    </w:p>
    <w:p w:rsidR="001018D7" w:rsidRPr="005444E9" w:rsidRDefault="001018D7" w:rsidP="005444E9">
      <w:pPr>
        <w:pStyle w:val="22"/>
        <w:shd w:val="clear" w:color="auto" w:fill="auto"/>
        <w:spacing w:before="0" w:after="342" w:line="360" w:lineRule="auto"/>
        <w:ind w:firstLine="800"/>
        <w:rPr>
          <w:sz w:val="22"/>
          <w:szCs w:val="22"/>
        </w:rPr>
      </w:pPr>
      <w:r w:rsidRPr="005444E9">
        <w:rPr>
          <w:sz w:val="22"/>
          <w:szCs w:val="22"/>
        </w:rPr>
        <w:t>РГОСА на основание чл.221, т.11 от ТЗ и Устава взе следното</w:t>
      </w:r>
    </w:p>
    <w:p w:rsidR="001018D7" w:rsidRPr="005444E9" w:rsidRDefault="001018D7" w:rsidP="005444E9">
      <w:pPr>
        <w:pStyle w:val="22"/>
        <w:shd w:val="clear" w:color="auto" w:fill="auto"/>
        <w:spacing w:before="0" w:after="342" w:line="360" w:lineRule="auto"/>
        <w:ind w:firstLine="708"/>
        <w:rPr>
          <w:sz w:val="22"/>
          <w:szCs w:val="22"/>
        </w:rPr>
      </w:pPr>
      <w:r w:rsidRPr="005444E9">
        <w:rPr>
          <w:sz w:val="22"/>
          <w:szCs w:val="22"/>
        </w:rPr>
        <w:t xml:space="preserve">РЕШЕНИЕ № </w:t>
      </w:r>
      <w:r w:rsidR="00476FDD" w:rsidRPr="005444E9">
        <w:rPr>
          <w:sz w:val="22"/>
          <w:szCs w:val="22"/>
        </w:rPr>
        <w:t>7</w:t>
      </w:r>
    </w:p>
    <w:p w:rsidR="001018D7" w:rsidRPr="005444E9" w:rsidRDefault="00476FDD" w:rsidP="005444E9">
      <w:pPr>
        <w:pStyle w:val="22"/>
        <w:shd w:val="clear" w:color="auto" w:fill="auto"/>
        <w:spacing w:before="0" w:after="342" w:line="360" w:lineRule="auto"/>
        <w:ind w:firstLine="0"/>
        <w:rPr>
          <w:sz w:val="22"/>
          <w:szCs w:val="22"/>
        </w:rPr>
      </w:pPr>
      <w:bookmarkStart w:id="2" w:name="bookmark15"/>
      <w:r w:rsidRPr="005444E9">
        <w:rPr>
          <w:rStyle w:val="4"/>
          <w:b w:val="0"/>
          <w:bCs w:val="0"/>
          <w:sz w:val="22"/>
          <w:szCs w:val="22"/>
        </w:rPr>
        <w:t>ПРИЕМА отчета за дейността на Директора за връзки с инвеститорите за 2020г.</w:t>
      </w:r>
      <w:bookmarkEnd w:id="2"/>
    </w:p>
    <w:p w:rsidR="009E38A0" w:rsidRPr="005444E9" w:rsidRDefault="009E38A0" w:rsidP="005444E9">
      <w:pPr>
        <w:pStyle w:val="22"/>
        <w:shd w:val="clear" w:color="auto" w:fill="auto"/>
        <w:spacing w:before="0" w:after="342" w:line="360" w:lineRule="auto"/>
        <w:ind w:firstLine="708"/>
        <w:rPr>
          <w:b/>
          <w:bCs/>
          <w:sz w:val="22"/>
          <w:szCs w:val="22"/>
        </w:rPr>
      </w:pPr>
      <w:r w:rsidRPr="005444E9">
        <w:rPr>
          <w:b/>
          <w:bCs/>
          <w:sz w:val="22"/>
          <w:szCs w:val="22"/>
        </w:rPr>
        <w:t>По точка 8 от дневния ред:</w:t>
      </w:r>
    </w:p>
    <w:p w:rsidR="009E38A0" w:rsidRPr="005444E9" w:rsidRDefault="009E38A0" w:rsidP="005444E9">
      <w:pPr>
        <w:pStyle w:val="22"/>
        <w:shd w:val="clear" w:color="auto" w:fill="auto"/>
        <w:spacing w:before="0" w:after="342" w:line="360" w:lineRule="auto"/>
        <w:ind w:firstLine="0"/>
        <w:rPr>
          <w:sz w:val="22"/>
          <w:szCs w:val="22"/>
        </w:rPr>
      </w:pPr>
      <w:r w:rsidRPr="005444E9">
        <w:rPr>
          <w:sz w:val="22"/>
          <w:szCs w:val="22"/>
        </w:rPr>
        <w:t xml:space="preserve">Председателят на заседанието запозна присъстващите е Доклада за прилагане на политиката за възнагражденията на членовете на Съвета на директорите на Дружеството за 2020 г.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редовното годишно ОСА предложи да се премине към гласуване на единственото постъпило предложение. </w:t>
      </w:r>
    </w:p>
    <w:p w:rsidR="009E38A0" w:rsidRPr="005444E9" w:rsidRDefault="009E38A0" w:rsidP="005444E9">
      <w:pPr>
        <w:pStyle w:val="22"/>
        <w:shd w:val="clear" w:color="auto" w:fill="auto"/>
        <w:spacing w:before="0" w:after="342" w:line="360" w:lineRule="auto"/>
        <w:ind w:firstLine="800"/>
        <w:rPr>
          <w:rFonts w:eastAsia="Calibri"/>
          <w:sz w:val="22"/>
          <w:szCs w:val="22"/>
        </w:rPr>
      </w:pPr>
      <w:r w:rsidRPr="005444E9">
        <w:rPr>
          <w:rFonts w:eastAsia="Calibri"/>
          <w:sz w:val="22"/>
          <w:szCs w:val="22"/>
        </w:rPr>
        <w:t>РГОСА на основание чл.221, т.11 от ТЗ и Устава взе следното</w:t>
      </w:r>
    </w:p>
    <w:p w:rsidR="009E38A0" w:rsidRPr="005444E9" w:rsidRDefault="009E38A0" w:rsidP="005444E9">
      <w:pPr>
        <w:pStyle w:val="22"/>
        <w:shd w:val="clear" w:color="auto" w:fill="auto"/>
        <w:spacing w:before="0" w:after="342" w:line="360" w:lineRule="auto"/>
        <w:ind w:firstLine="708"/>
        <w:rPr>
          <w:sz w:val="22"/>
          <w:szCs w:val="22"/>
        </w:rPr>
      </w:pPr>
      <w:r w:rsidRPr="005444E9">
        <w:rPr>
          <w:sz w:val="22"/>
          <w:szCs w:val="22"/>
        </w:rPr>
        <w:t>РЕШЕНИЕ № 8</w:t>
      </w:r>
    </w:p>
    <w:p w:rsidR="009E38A0" w:rsidRPr="005444E9" w:rsidRDefault="004250D4" w:rsidP="005444E9">
      <w:pPr>
        <w:spacing w:line="360" w:lineRule="auto"/>
        <w:jc w:val="both"/>
        <w:rPr>
          <w:rFonts w:eastAsia="Calibri"/>
          <w:sz w:val="22"/>
          <w:szCs w:val="22"/>
          <w:lang w:eastAsia="en-US"/>
        </w:rPr>
      </w:pPr>
      <w:r w:rsidRPr="005444E9">
        <w:rPr>
          <w:rFonts w:eastAsia="Calibri"/>
          <w:sz w:val="22"/>
          <w:szCs w:val="22"/>
          <w:lang w:eastAsia="en-US"/>
        </w:rPr>
        <w:t>ПРИЕМА Доклада за прилагане на политиката за възнагражденията на членовете на Съвета на директорите на Дружеството за 2020 г</w:t>
      </w:r>
      <w:r w:rsidR="009E38A0" w:rsidRPr="005444E9">
        <w:rPr>
          <w:rFonts w:eastAsia="Calibri"/>
          <w:sz w:val="22"/>
          <w:szCs w:val="22"/>
          <w:lang w:eastAsia="en-US"/>
        </w:rPr>
        <w:t>.</w:t>
      </w:r>
    </w:p>
    <w:p w:rsidR="001E48FD" w:rsidRPr="005444E9" w:rsidRDefault="001E48FD" w:rsidP="005444E9">
      <w:pPr>
        <w:pStyle w:val="22"/>
        <w:shd w:val="clear" w:color="auto" w:fill="auto"/>
        <w:spacing w:before="0" w:after="342" w:line="360" w:lineRule="auto"/>
        <w:ind w:firstLine="708"/>
        <w:rPr>
          <w:b/>
          <w:bCs/>
          <w:sz w:val="22"/>
          <w:szCs w:val="22"/>
        </w:rPr>
      </w:pPr>
    </w:p>
    <w:p w:rsidR="001E48FD" w:rsidRPr="005444E9" w:rsidRDefault="001E48FD" w:rsidP="005444E9">
      <w:pPr>
        <w:pStyle w:val="22"/>
        <w:shd w:val="clear" w:color="auto" w:fill="auto"/>
        <w:spacing w:before="0" w:after="342" w:line="360" w:lineRule="auto"/>
        <w:ind w:firstLine="708"/>
        <w:rPr>
          <w:b/>
          <w:bCs/>
          <w:sz w:val="22"/>
          <w:szCs w:val="22"/>
        </w:rPr>
      </w:pPr>
      <w:r w:rsidRPr="005444E9">
        <w:rPr>
          <w:b/>
          <w:bCs/>
          <w:sz w:val="22"/>
          <w:szCs w:val="22"/>
        </w:rPr>
        <w:t>По точка 9 от дневния ред:</w:t>
      </w:r>
    </w:p>
    <w:p w:rsidR="005444E9" w:rsidRPr="005444E9" w:rsidRDefault="005444E9" w:rsidP="005444E9">
      <w:pPr>
        <w:pStyle w:val="22"/>
        <w:shd w:val="clear" w:color="auto" w:fill="auto"/>
        <w:spacing w:before="0" w:line="360" w:lineRule="auto"/>
        <w:ind w:firstLine="0"/>
        <w:rPr>
          <w:rFonts w:eastAsia="Calibri"/>
          <w:sz w:val="22"/>
          <w:szCs w:val="22"/>
        </w:rPr>
      </w:pPr>
      <w:r w:rsidRPr="005444E9">
        <w:rPr>
          <w:rFonts w:eastAsia="Calibri"/>
          <w:sz w:val="22"/>
          <w:szCs w:val="22"/>
        </w:rPr>
        <w:t>Председателят на заседанието представи на присъстващите предложението за освобождаване от отговорност на членовете на Съвета на директорите за 2020г., като разясни, че това предложение е в съответствие и при спазване разпоредбата на чл.116 в, ал.8 от Закона за публичното предлагане на ценни книжа. След това председателят даде думата на желаещите акционери да се изкажат, зададат въпроси и направят предложения по същество. Такива нямаше. Поради това председателят на редовното годишно ОСА предложи да се премине към гласуване на проекта за решение.</w:t>
      </w:r>
    </w:p>
    <w:p w:rsidR="001E48FD" w:rsidRPr="005444E9" w:rsidRDefault="001E48FD" w:rsidP="005444E9">
      <w:pPr>
        <w:pStyle w:val="22"/>
        <w:shd w:val="clear" w:color="auto" w:fill="auto"/>
        <w:spacing w:before="0" w:after="342" w:line="360" w:lineRule="auto"/>
        <w:ind w:firstLine="708"/>
        <w:rPr>
          <w:rFonts w:eastAsia="Calibri"/>
          <w:sz w:val="22"/>
          <w:szCs w:val="22"/>
        </w:rPr>
      </w:pPr>
      <w:r w:rsidRPr="005444E9">
        <w:rPr>
          <w:rFonts w:eastAsia="Calibri"/>
          <w:sz w:val="22"/>
          <w:szCs w:val="22"/>
        </w:rPr>
        <w:t>РГОСА на основание чл.221, т.1</w:t>
      </w:r>
      <w:r w:rsidR="005444E9" w:rsidRPr="005444E9">
        <w:rPr>
          <w:rFonts w:eastAsia="Calibri"/>
          <w:sz w:val="22"/>
          <w:szCs w:val="22"/>
        </w:rPr>
        <w:t>0</w:t>
      </w:r>
      <w:r w:rsidRPr="005444E9">
        <w:rPr>
          <w:rFonts w:eastAsia="Calibri"/>
          <w:sz w:val="22"/>
          <w:szCs w:val="22"/>
        </w:rPr>
        <w:t xml:space="preserve"> от ТЗ и Устава взе следното</w:t>
      </w:r>
    </w:p>
    <w:p w:rsidR="001E48FD" w:rsidRPr="005444E9" w:rsidRDefault="001E48FD" w:rsidP="005444E9">
      <w:pPr>
        <w:pStyle w:val="22"/>
        <w:shd w:val="clear" w:color="auto" w:fill="auto"/>
        <w:spacing w:before="0" w:after="342" w:line="360" w:lineRule="auto"/>
        <w:ind w:firstLine="708"/>
        <w:rPr>
          <w:sz w:val="22"/>
          <w:szCs w:val="22"/>
        </w:rPr>
      </w:pPr>
      <w:r w:rsidRPr="005444E9">
        <w:rPr>
          <w:sz w:val="22"/>
          <w:szCs w:val="22"/>
        </w:rPr>
        <w:lastRenderedPageBreak/>
        <w:t>РЕШЕНИЕ № 9</w:t>
      </w:r>
    </w:p>
    <w:p w:rsidR="005444E9" w:rsidRDefault="005444E9" w:rsidP="005444E9">
      <w:pPr>
        <w:pStyle w:val="32"/>
        <w:shd w:val="clear" w:color="auto" w:fill="auto"/>
        <w:spacing w:after="0" w:line="360" w:lineRule="auto"/>
        <w:jc w:val="both"/>
        <w:rPr>
          <w:rFonts w:eastAsia="Calibri"/>
          <w:b w:val="0"/>
          <w:bCs w:val="0"/>
          <w:sz w:val="22"/>
          <w:szCs w:val="22"/>
        </w:rPr>
      </w:pPr>
      <w:r w:rsidRPr="005444E9">
        <w:rPr>
          <w:rFonts w:eastAsia="Calibri"/>
          <w:b w:val="0"/>
          <w:bCs w:val="0"/>
          <w:sz w:val="22"/>
          <w:szCs w:val="22"/>
        </w:rPr>
        <w:t>ОСВОБОЖДАВА от отговорност членовете на Съвета на директорите за 2020г. при спазване разпоредбата на чл.116в, ал.8 от ЗППЦК.</w:t>
      </w:r>
    </w:p>
    <w:p w:rsidR="00C8053D" w:rsidRPr="005444E9" w:rsidRDefault="00C8053D" w:rsidP="005444E9">
      <w:pPr>
        <w:pStyle w:val="32"/>
        <w:shd w:val="clear" w:color="auto" w:fill="auto"/>
        <w:spacing w:after="0" w:line="360" w:lineRule="auto"/>
        <w:jc w:val="both"/>
        <w:rPr>
          <w:rFonts w:eastAsia="Calibri"/>
          <w:b w:val="0"/>
          <w:bCs w:val="0"/>
          <w:sz w:val="22"/>
          <w:szCs w:val="22"/>
        </w:rPr>
      </w:pPr>
    </w:p>
    <w:p w:rsidR="00DA1F59" w:rsidRPr="005444E9" w:rsidRDefault="00DA1F59"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01.11.2021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8" w:history="1">
        <w:r w:rsidRPr="005444E9">
          <w:rPr>
            <w:sz w:val="22"/>
            <w:szCs w:val="22"/>
          </w:rPr>
          <w:t xml:space="preserve"> Тримесечен отчет на публично дружество и </w:t>
        </w:r>
        <w:proofErr w:type="spellStart"/>
        <w:r w:rsidRPr="005444E9">
          <w:rPr>
            <w:sz w:val="22"/>
            <w:szCs w:val="22"/>
          </w:rPr>
          <w:t>емитент</w:t>
        </w:r>
        <w:proofErr w:type="spellEnd"/>
        <w:r w:rsidRPr="005444E9">
          <w:rPr>
            <w:sz w:val="22"/>
            <w:szCs w:val="22"/>
          </w:rPr>
          <w:t xml:space="preserve"> на ценни книжа</w:t>
        </w:r>
        <w:r w:rsidRPr="005444E9">
          <w:rPr>
            <w:sz w:val="22"/>
            <w:szCs w:val="22"/>
            <w:lang w:val="en-US"/>
          </w:rPr>
          <w:t xml:space="preserve"> </w:t>
        </w:r>
        <w:r w:rsidRPr="005444E9">
          <w:rPr>
            <w:sz w:val="22"/>
            <w:szCs w:val="22"/>
          </w:rPr>
          <w:t>за трето тримесечие на 2021г.</w:t>
        </w:r>
      </w:hyperlink>
    </w:p>
    <w:p w:rsidR="006F3DD8" w:rsidRPr="005444E9" w:rsidRDefault="00DA1F59" w:rsidP="005444E9">
      <w:pPr>
        <w:spacing w:line="360" w:lineRule="auto"/>
        <w:jc w:val="both"/>
        <w:rPr>
          <w:rFonts w:eastAsia="Calibri"/>
          <w:sz w:val="22"/>
          <w:szCs w:val="22"/>
          <w:lang w:eastAsia="en-US"/>
        </w:rPr>
      </w:pPr>
      <w:r w:rsidRPr="005444E9">
        <w:rPr>
          <w:rFonts w:eastAsia="Calibri"/>
          <w:sz w:val="22"/>
          <w:szCs w:val="22"/>
          <w:lang w:eastAsia="en-US"/>
        </w:rPr>
        <w:t xml:space="preserve">На </w:t>
      </w:r>
      <w:r w:rsidRPr="005444E9">
        <w:rPr>
          <w:rFonts w:eastAsia="Calibri"/>
          <w:b/>
          <w:bCs/>
          <w:sz w:val="22"/>
          <w:szCs w:val="22"/>
          <w:lang w:eastAsia="en-US"/>
        </w:rPr>
        <w:t>01.11.2021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hyperlink r:id="rId19" w:history="1">
        <w:r w:rsidRPr="005444E9">
          <w:rPr>
            <w:sz w:val="22"/>
            <w:szCs w:val="22"/>
          </w:rPr>
          <w:t xml:space="preserve"> Тримесечен отчет на </w:t>
        </w:r>
        <w:proofErr w:type="spellStart"/>
        <w:r w:rsidRPr="005444E9">
          <w:rPr>
            <w:sz w:val="22"/>
            <w:szCs w:val="22"/>
          </w:rPr>
          <w:t>емитент</w:t>
        </w:r>
        <w:proofErr w:type="spellEnd"/>
        <w:r w:rsidRPr="005444E9">
          <w:rPr>
            <w:sz w:val="22"/>
            <w:szCs w:val="22"/>
          </w:rPr>
          <w:t xml:space="preserve"> на облигации по чл. 100е, ал. 1, т. 2, във връзка с чл. 100е, ал. 2 от ЗППЦК за спазване на задълженията на </w:t>
        </w:r>
        <w:proofErr w:type="spellStart"/>
        <w:r w:rsidRPr="005444E9">
          <w:rPr>
            <w:sz w:val="22"/>
            <w:szCs w:val="22"/>
          </w:rPr>
          <w:t>емитента</w:t>
        </w:r>
        <w:proofErr w:type="spellEnd"/>
        <w:r w:rsidRPr="005444E9">
          <w:rPr>
            <w:sz w:val="22"/>
            <w:szCs w:val="22"/>
          </w:rPr>
          <w:t xml:space="preserve"> към </w:t>
        </w:r>
        <w:proofErr w:type="spellStart"/>
        <w:r w:rsidRPr="005444E9">
          <w:rPr>
            <w:sz w:val="22"/>
            <w:szCs w:val="22"/>
          </w:rPr>
          <w:t>облигационерите</w:t>
        </w:r>
        <w:proofErr w:type="spellEnd"/>
        <w:r w:rsidRPr="005444E9">
          <w:rPr>
            <w:rFonts w:eastAsia="Calibri"/>
            <w:sz w:val="22"/>
            <w:szCs w:val="22"/>
            <w:lang w:eastAsia="en-US"/>
          </w:rPr>
          <w:t xml:space="preserve"> за трето тримесечие на 2021г.</w:t>
        </w:r>
      </w:hyperlink>
    </w:p>
    <w:p w:rsidR="006F3DD8" w:rsidRPr="005444E9" w:rsidRDefault="00DA1F59" w:rsidP="005444E9">
      <w:pPr>
        <w:spacing w:line="360" w:lineRule="auto"/>
        <w:jc w:val="both"/>
        <w:rPr>
          <w:sz w:val="22"/>
          <w:szCs w:val="22"/>
        </w:rPr>
      </w:pPr>
      <w:r w:rsidRPr="005444E9">
        <w:rPr>
          <w:rFonts w:eastAsia="Calibri"/>
          <w:sz w:val="22"/>
          <w:szCs w:val="22"/>
          <w:lang w:eastAsia="en-US"/>
        </w:rPr>
        <w:t xml:space="preserve">На </w:t>
      </w:r>
      <w:r w:rsidRPr="005444E9">
        <w:rPr>
          <w:rFonts w:eastAsia="Calibri"/>
          <w:b/>
          <w:bCs/>
          <w:sz w:val="22"/>
          <w:szCs w:val="22"/>
          <w:lang w:eastAsia="en-US"/>
        </w:rPr>
        <w:t>01.11.2021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r w:rsidRPr="005444E9">
        <w:rPr>
          <w:sz w:val="22"/>
          <w:szCs w:val="22"/>
        </w:rPr>
        <w:t xml:space="preserve">Друга нерегулирана </w:t>
      </w:r>
      <w:r w:rsidRPr="003354DB">
        <w:rPr>
          <w:sz w:val="22"/>
          <w:szCs w:val="22"/>
        </w:rPr>
        <w:t>информация-</w:t>
      </w:r>
      <w:r w:rsidR="003354DB" w:rsidRPr="003354DB">
        <w:rPr>
          <w:rFonts w:eastAsia="Calibri"/>
          <w:sz w:val="22"/>
          <w:szCs w:val="22"/>
          <w:lang w:eastAsia="en-US"/>
        </w:rPr>
        <w:t xml:space="preserve"> </w:t>
      </w:r>
      <w:r w:rsidR="003354DB">
        <w:rPr>
          <w:rFonts w:eastAsia="Calibri"/>
          <w:sz w:val="22"/>
          <w:szCs w:val="22"/>
          <w:lang w:eastAsia="en-US"/>
        </w:rPr>
        <w:t xml:space="preserve">Уведомление за </w:t>
      </w:r>
      <w:r w:rsidR="003354DB" w:rsidRPr="00E11DBD">
        <w:rPr>
          <w:rFonts w:eastAsia="Calibri"/>
          <w:sz w:val="22"/>
          <w:szCs w:val="22"/>
          <w:lang w:eastAsia="en-US"/>
        </w:rPr>
        <w:t>Лихвено плащане по облигационна емисия ISIN код BG2100003131, издадена на ТЕЦ Марица 3 АД</w:t>
      </w:r>
    </w:p>
    <w:p w:rsidR="00DA1F59" w:rsidRPr="00E11DBD" w:rsidRDefault="00DA1F59" w:rsidP="005444E9">
      <w:pPr>
        <w:spacing w:line="360" w:lineRule="auto"/>
        <w:jc w:val="both"/>
        <w:rPr>
          <w:rFonts w:eastAsia="Calibri"/>
          <w:sz w:val="22"/>
          <w:szCs w:val="22"/>
          <w:lang w:eastAsia="en-US"/>
        </w:rPr>
      </w:pPr>
      <w:r w:rsidRPr="005444E9">
        <w:rPr>
          <w:rFonts w:eastAsia="Calibri"/>
          <w:sz w:val="22"/>
          <w:szCs w:val="22"/>
          <w:lang w:eastAsia="en-US"/>
        </w:rPr>
        <w:t xml:space="preserve">На </w:t>
      </w:r>
      <w:r w:rsidRPr="005444E9">
        <w:rPr>
          <w:rFonts w:eastAsia="Calibri"/>
          <w:b/>
          <w:bCs/>
          <w:sz w:val="22"/>
          <w:szCs w:val="22"/>
          <w:lang w:eastAsia="en-US"/>
        </w:rPr>
        <w:t>01.11.2021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Вътрешна информация по чл. 17, §1, във </w:t>
      </w:r>
      <w:proofErr w:type="spellStart"/>
      <w:r w:rsidRPr="005444E9">
        <w:rPr>
          <w:rFonts w:eastAsia="Calibri"/>
          <w:sz w:val="22"/>
          <w:szCs w:val="22"/>
          <w:lang w:eastAsia="en-US"/>
        </w:rPr>
        <w:t>вр</w:t>
      </w:r>
      <w:proofErr w:type="spellEnd"/>
      <w:r w:rsidRPr="005444E9">
        <w:rPr>
          <w:rFonts w:eastAsia="Calibri"/>
          <w:sz w:val="22"/>
          <w:szCs w:val="22"/>
          <w:lang w:eastAsia="en-US"/>
        </w:rPr>
        <w:t xml:space="preserve">. с чл. 7 от Регламент №596/2014 на ЕП и на </w:t>
      </w:r>
      <w:r w:rsidRPr="00E11DBD">
        <w:rPr>
          <w:rFonts w:eastAsia="Calibri"/>
          <w:sz w:val="22"/>
          <w:szCs w:val="22"/>
          <w:lang w:eastAsia="en-US"/>
        </w:rPr>
        <w:t>Съвета-</w:t>
      </w:r>
    </w:p>
    <w:p w:rsidR="00E11DBD" w:rsidRPr="005444E9" w:rsidRDefault="00E11DBD" w:rsidP="005444E9">
      <w:pPr>
        <w:spacing w:line="360" w:lineRule="auto"/>
        <w:jc w:val="both"/>
        <w:rPr>
          <w:rFonts w:eastAsia="Calibri"/>
          <w:sz w:val="22"/>
          <w:szCs w:val="22"/>
          <w:lang w:eastAsia="en-US"/>
        </w:rPr>
      </w:pPr>
      <w:r>
        <w:rPr>
          <w:rFonts w:eastAsia="Calibri"/>
          <w:sz w:val="22"/>
          <w:szCs w:val="22"/>
          <w:lang w:eastAsia="en-US"/>
        </w:rPr>
        <w:t xml:space="preserve">Уведомление за </w:t>
      </w:r>
      <w:r w:rsidRPr="00E11DBD">
        <w:rPr>
          <w:rFonts w:eastAsia="Calibri"/>
          <w:sz w:val="22"/>
          <w:szCs w:val="22"/>
          <w:lang w:eastAsia="en-US"/>
        </w:rPr>
        <w:t>Лихвено плащане по облигационна емисия ISIN код BG2100003131, издадена на ТЕЦ Марица 3 АД</w:t>
      </w:r>
    </w:p>
    <w:p w:rsidR="0043455C" w:rsidRPr="005444E9" w:rsidRDefault="0043455C" w:rsidP="005444E9">
      <w:pPr>
        <w:spacing w:line="360" w:lineRule="auto"/>
        <w:jc w:val="both"/>
        <w:rPr>
          <w:bCs/>
          <w:color w:val="000000"/>
          <w:sz w:val="22"/>
          <w:szCs w:val="22"/>
        </w:rPr>
      </w:pPr>
      <w:r w:rsidRPr="005444E9">
        <w:rPr>
          <w:rFonts w:eastAsia="Calibri"/>
          <w:sz w:val="22"/>
          <w:szCs w:val="22"/>
          <w:lang w:eastAsia="en-US"/>
        </w:rPr>
        <w:t xml:space="preserve">На </w:t>
      </w:r>
      <w:r w:rsidRPr="005444E9">
        <w:rPr>
          <w:rFonts w:eastAsia="Calibri"/>
          <w:b/>
          <w:bCs/>
          <w:sz w:val="22"/>
          <w:szCs w:val="22"/>
          <w:lang w:eastAsia="en-US"/>
        </w:rPr>
        <w:t>30.11.2021 г.</w:t>
      </w:r>
      <w:r w:rsidRPr="005444E9">
        <w:rPr>
          <w:rFonts w:eastAsia="Calibri"/>
          <w:sz w:val="22"/>
          <w:szCs w:val="22"/>
          <w:lang w:eastAsia="en-US"/>
        </w:rPr>
        <w:t xml:space="preserve"> </w:t>
      </w:r>
      <w:r w:rsidRPr="005444E9">
        <w:rPr>
          <w:bCs/>
          <w:color w:val="000000"/>
          <w:sz w:val="22"/>
          <w:szCs w:val="22"/>
        </w:rPr>
        <w:t xml:space="preserve">ТЕЦ “МАРИЦА 3“ АД </w:t>
      </w:r>
      <w:r w:rsidRPr="005444E9">
        <w:rPr>
          <w:rFonts w:eastAsia="Calibri"/>
          <w:sz w:val="22"/>
          <w:szCs w:val="22"/>
          <w:lang w:eastAsia="en-US"/>
        </w:rPr>
        <w:t xml:space="preserve">е представило пред КФН, БФБ и обществеността </w:t>
      </w:r>
      <w:r w:rsidRPr="005444E9">
        <w:rPr>
          <w:bCs/>
          <w:color w:val="000000"/>
          <w:sz w:val="22"/>
          <w:szCs w:val="22"/>
        </w:rPr>
        <w:t xml:space="preserve">Тримесечен консолидиран отчет на публично дружество и </w:t>
      </w:r>
      <w:proofErr w:type="spellStart"/>
      <w:r w:rsidRPr="005444E9">
        <w:rPr>
          <w:bCs/>
          <w:color w:val="000000"/>
          <w:sz w:val="22"/>
          <w:szCs w:val="22"/>
        </w:rPr>
        <w:t>емитент</w:t>
      </w:r>
      <w:proofErr w:type="spellEnd"/>
      <w:r w:rsidRPr="005444E9">
        <w:rPr>
          <w:bCs/>
          <w:color w:val="000000"/>
          <w:sz w:val="22"/>
          <w:szCs w:val="22"/>
        </w:rPr>
        <w:t xml:space="preserve"> на ценни книжа за трето тримесечие на 2021 г.</w:t>
      </w:r>
    </w:p>
    <w:p w:rsidR="00395D9C" w:rsidRPr="00412493" w:rsidRDefault="00395D9C" w:rsidP="00AD687D">
      <w:pPr>
        <w:ind w:firstLine="851"/>
        <w:jc w:val="both"/>
        <w:rPr>
          <w:rFonts w:eastAsia="Calibri"/>
          <w:lang w:eastAsia="en-US"/>
        </w:rPr>
      </w:pPr>
    </w:p>
    <w:p w:rsidR="00AD687D" w:rsidRPr="00412493" w:rsidRDefault="00AD687D" w:rsidP="00AD687D">
      <w:pPr>
        <w:tabs>
          <w:tab w:val="left" w:pos="993"/>
        </w:tabs>
        <w:ind w:firstLine="851"/>
        <w:jc w:val="both"/>
        <w:rPr>
          <w:rFonts w:eastAsia="Calibri"/>
          <w:lang w:eastAsia="en-US"/>
        </w:rPr>
      </w:pPr>
    </w:p>
    <w:p w:rsidR="00AD687D" w:rsidRPr="00412493" w:rsidRDefault="00AD687D" w:rsidP="00AD687D">
      <w:pPr>
        <w:numPr>
          <w:ilvl w:val="0"/>
          <w:numId w:val="10"/>
        </w:numPr>
        <w:ind w:right="74"/>
        <w:jc w:val="both"/>
        <w:rPr>
          <w:b/>
          <w:u w:val="single"/>
        </w:rPr>
      </w:pPr>
      <w:r w:rsidRPr="00412493">
        <w:rPr>
          <w:b/>
          <w:u w:val="single"/>
        </w:rPr>
        <w:t xml:space="preserve">ПРЕГЛЕД НА ДЕЙНОСТТА </w:t>
      </w:r>
    </w:p>
    <w:p w:rsidR="00AD687D" w:rsidRPr="00412493" w:rsidRDefault="00AD687D" w:rsidP="00AD687D">
      <w:pPr>
        <w:ind w:right="74"/>
        <w:jc w:val="both"/>
        <w:rPr>
          <w:b/>
          <w:u w:val="single"/>
        </w:rPr>
      </w:pPr>
    </w:p>
    <w:p w:rsidR="003354DB" w:rsidRDefault="003354DB" w:rsidP="003354DB">
      <w:pPr>
        <w:spacing w:line="360" w:lineRule="auto"/>
        <w:jc w:val="both"/>
        <w:rPr>
          <w:rFonts w:eastAsia="Times New Roman"/>
          <w:lang w:val="ru-RU"/>
        </w:rPr>
      </w:pPr>
      <w:r w:rsidRPr="003354DB">
        <w:rPr>
          <w:rFonts w:eastAsia="Times New Roman"/>
        </w:rPr>
        <w:t xml:space="preserve">Предмет на дейност на Дружеството е: </w:t>
      </w:r>
      <w:r w:rsidRPr="003354DB">
        <w:rPr>
          <w:rFonts w:eastAsia="Times New Roman"/>
          <w:lang w:val="ru-RU"/>
        </w:rPr>
        <w:t xml:space="preserve">Производство на </w:t>
      </w:r>
      <w:proofErr w:type="spellStart"/>
      <w:r w:rsidRPr="003354DB">
        <w:rPr>
          <w:rFonts w:eastAsia="Times New Roman"/>
          <w:lang w:val="ru-RU"/>
        </w:rPr>
        <w:t>електрическа</w:t>
      </w:r>
      <w:proofErr w:type="spellEnd"/>
      <w:r w:rsidRPr="003354DB">
        <w:rPr>
          <w:rFonts w:eastAsia="Times New Roman"/>
          <w:lang w:val="ru-RU"/>
        </w:rPr>
        <w:t xml:space="preserve"> и </w:t>
      </w:r>
      <w:proofErr w:type="spellStart"/>
      <w:r w:rsidRPr="003354DB">
        <w:rPr>
          <w:rFonts w:eastAsia="Times New Roman"/>
          <w:lang w:val="ru-RU"/>
        </w:rPr>
        <w:t>топлинна</w:t>
      </w:r>
      <w:proofErr w:type="spellEnd"/>
      <w:r w:rsidRPr="003354DB">
        <w:rPr>
          <w:rFonts w:eastAsia="Times New Roman"/>
          <w:lang w:val="ru-RU"/>
        </w:rPr>
        <w:t xml:space="preserve"> </w:t>
      </w:r>
      <w:proofErr w:type="spellStart"/>
      <w:r w:rsidRPr="003354DB">
        <w:rPr>
          <w:rFonts w:eastAsia="Times New Roman"/>
          <w:lang w:val="ru-RU"/>
        </w:rPr>
        <w:t>енергия</w:t>
      </w:r>
      <w:proofErr w:type="spellEnd"/>
      <w:r w:rsidRPr="003354DB">
        <w:rPr>
          <w:rFonts w:eastAsia="Times New Roman"/>
          <w:lang w:val="ru-RU"/>
        </w:rPr>
        <w:t xml:space="preserve">, </w:t>
      </w:r>
      <w:proofErr w:type="spellStart"/>
      <w:r w:rsidRPr="003354DB">
        <w:rPr>
          <w:rFonts w:eastAsia="Times New Roman"/>
          <w:lang w:val="ru-RU"/>
        </w:rPr>
        <w:t>пренос</w:t>
      </w:r>
      <w:proofErr w:type="spellEnd"/>
      <w:r w:rsidRPr="003354DB">
        <w:rPr>
          <w:rFonts w:eastAsia="Times New Roman"/>
          <w:lang w:val="ru-RU"/>
        </w:rPr>
        <w:t xml:space="preserve"> и </w:t>
      </w:r>
      <w:proofErr w:type="spellStart"/>
      <w:r w:rsidRPr="003354DB">
        <w:rPr>
          <w:rFonts w:eastAsia="Times New Roman"/>
          <w:lang w:val="ru-RU"/>
        </w:rPr>
        <w:t>разпределение</w:t>
      </w:r>
      <w:proofErr w:type="spellEnd"/>
      <w:r w:rsidRPr="003354DB">
        <w:rPr>
          <w:rFonts w:eastAsia="Times New Roman"/>
          <w:lang w:val="ru-RU"/>
        </w:rPr>
        <w:t xml:space="preserve"> на </w:t>
      </w:r>
      <w:proofErr w:type="spellStart"/>
      <w:r w:rsidRPr="003354DB">
        <w:rPr>
          <w:rFonts w:eastAsia="Times New Roman"/>
          <w:lang w:val="ru-RU"/>
        </w:rPr>
        <w:t>топлинна</w:t>
      </w:r>
      <w:proofErr w:type="spellEnd"/>
      <w:r w:rsidRPr="003354DB">
        <w:rPr>
          <w:rFonts w:eastAsia="Times New Roman"/>
          <w:lang w:val="ru-RU"/>
        </w:rPr>
        <w:t xml:space="preserve"> </w:t>
      </w:r>
      <w:proofErr w:type="spellStart"/>
      <w:r w:rsidRPr="003354DB">
        <w:rPr>
          <w:rFonts w:eastAsia="Times New Roman"/>
          <w:lang w:val="ru-RU"/>
        </w:rPr>
        <w:t>енергия</w:t>
      </w:r>
      <w:proofErr w:type="spellEnd"/>
      <w:r w:rsidRPr="003354DB">
        <w:rPr>
          <w:rFonts w:eastAsia="Times New Roman"/>
          <w:lang w:val="ru-RU"/>
        </w:rPr>
        <w:t xml:space="preserve">, </w:t>
      </w:r>
      <w:proofErr w:type="spellStart"/>
      <w:r w:rsidRPr="003354DB">
        <w:rPr>
          <w:rFonts w:eastAsia="Times New Roman"/>
          <w:lang w:val="ru-RU"/>
        </w:rPr>
        <w:t>строително</w:t>
      </w:r>
      <w:proofErr w:type="spellEnd"/>
      <w:r w:rsidRPr="003354DB">
        <w:rPr>
          <w:rFonts w:eastAsia="Times New Roman"/>
          <w:lang w:val="ru-RU"/>
        </w:rPr>
        <w:t xml:space="preserve"> и </w:t>
      </w:r>
      <w:proofErr w:type="spellStart"/>
      <w:r w:rsidRPr="003354DB">
        <w:rPr>
          <w:rFonts w:eastAsia="Times New Roman"/>
          <w:lang w:val="ru-RU"/>
        </w:rPr>
        <w:t>ремонтна</w:t>
      </w:r>
      <w:proofErr w:type="spellEnd"/>
      <w:r w:rsidRPr="003354DB">
        <w:rPr>
          <w:rFonts w:eastAsia="Times New Roman"/>
          <w:lang w:val="ru-RU"/>
        </w:rPr>
        <w:t xml:space="preserve"> </w:t>
      </w:r>
      <w:proofErr w:type="spellStart"/>
      <w:r w:rsidRPr="003354DB">
        <w:rPr>
          <w:rFonts w:eastAsia="Times New Roman"/>
          <w:lang w:val="ru-RU"/>
        </w:rPr>
        <w:t>дейност</w:t>
      </w:r>
      <w:proofErr w:type="spellEnd"/>
      <w:r w:rsidRPr="003354DB">
        <w:rPr>
          <w:rFonts w:eastAsia="Times New Roman"/>
          <w:lang w:val="ru-RU"/>
        </w:rPr>
        <w:t xml:space="preserve"> в </w:t>
      </w:r>
      <w:proofErr w:type="spellStart"/>
      <w:r w:rsidRPr="003354DB">
        <w:rPr>
          <w:rFonts w:eastAsia="Times New Roman"/>
          <w:lang w:val="ru-RU"/>
        </w:rPr>
        <w:t>областта</w:t>
      </w:r>
      <w:proofErr w:type="spellEnd"/>
      <w:r w:rsidRPr="003354DB">
        <w:rPr>
          <w:rFonts w:eastAsia="Times New Roman"/>
          <w:lang w:val="ru-RU"/>
        </w:rPr>
        <w:t xml:space="preserve"> на </w:t>
      </w:r>
      <w:proofErr w:type="spellStart"/>
      <w:r w:rsidRPr="003354DB">
        <w:rPr>
          <w:rFonts w:eastAsia="Times New Roman"/>
          <w:lang w:val="ru-RU"/>
        </w:rPr>
        <w:t>електроенергетиката</w:t>
      </w:r>
      <w:proofErr w:type="spellEnd"/>
      <w:r w:rsidRPr="003354DB">
        <w:rPr>
          <w:rFonts w:eastAsia="Times New Roman"/>
          <w:lang w:val="ru-RU"/>
        </w:rPr>
        <w:t xml:space="preserve">, </w:t>
      </w:r>
      <w:proofErr w:type="spellStart"/>
      <w:r w:rsidRPr="003354DB">
        <w:rPr>
          <w:rFonts w:eastAsia="Times New Roman"/>
          <w:lang w:val="ru-RU"/>
        </w:rPr>
        <w:t>строително</w:t>
      </w:r>
      <w:proofErr w:type="spellEnd"/>
      <w:r w:rsidRPr="003354DB">
        <w:rPr>
          <w:rFonts w:eastAsia="Times New Roman"/>
          <w:lang w:val="ru-RU"/>
        </w:rPr>
        <w:t xml:space="preserve"> и </w:t>
      </w:r>
      <w:proofErr w:type="spellStart"/>
      <w:r w:rsidRPr="003354DB">
        <w:rPr>
          <w:rFonts w:eastAsia="Times New Roman"/>
          <w:lang w:val="ru-RU"/>
        </w:rPr>
        <w:t>ремонтна</w:t>
      </w:r>
      <w:proofErr w:type="spellEnd"/>
      <w:r w:rsidRPr="003354DB">
        <w:rPr>
          <w:rFonts w:eastAsia="Times New Roman"/>
          <w:lang w:val="ru-RU"/>
        </w:rPr>
        <w:t xml:space="preserve"> </w:t>
      </w:r>
      <w:proofErr w:type="spellStart"/>
      <w:r w:rsidRPr="003354DB">
        <w:rPr>
          <w:rFonts w:eastAsia="Times New Roman"/>
          <w:lang w:val="ru-RU"/>
        </w:rPr>
        <w:t>дейност</w:t>
      </w:r>
      <w:proofErr w:type="spellEnd"/>
      <w:r w:rsidRPr="003354DB">
        <w:rPr>
          <w:rFonts w:eastAsia="Times New Roman"/>
          <w:lang w:val="ru-RU"/>
        </w:rPr>
        <w:t xml:space="preserve"> в </w:t>
      </w:r>
      <w:proofErr w:type="spellStart"/>
      <w:r w:rsidRPr="003354DB">
        <w:rPr>
          <w:rFonts w:eastAsia="Times New Roman"/>
          <w:lang w:val="ru-RU"/>
        </w:rPr>
        <w:t>областта</w:t>
      </w:r>
      <w:proofErr w:type="spellEnd"/>
      <w:r w:rsidRPr="003354DB">
        <w:rPr>
          <w:rFonts w:eastAsia="Times New Roman"/>
          <w:lang w:val="ru-RU"/>
        </w:rPr>
        <w:t xml:space="preserve"> на </w:t>
      </w:r>
      <w:proofErr w:type="spellStart"/>
      <w:r w:rsidRPr="003354DB">
        <w:rPr>
          <w:rFonts w:eastAsia="Times New Roman"/>
          <w:lang w:val="ru-RU"/>
        </w:rPr>
        <w:t>електропоризводството</w:t>
      </w:r>
      <w:proofErr w:type="spellEnd"/>
      <w:r w:rsidRPr="003354DB">
        <w:rPr>
          <w:rFonts w:eastAsia="Times New Roman"/>
          <w:lang w:val="ru-RU"/>
        </w:rPr>
        <w:t xml:space="preserve"> и </w:t>
      </w:r>
      <w:proofErr w:type="spellStart"/>
      <w:r w:rsidRPr="003354DB">
        <w:rPr>
          <w:rFonts w:eastAsia="Times New Roman"/>
          <w:lang w:val="ru-RU"/>
        </w:rPr>
        <w:t>топлопроизводството</w:t>
      </w:r>
      <w:proofErr w:type="spellEnd"/>
      <w:r w:rsidRPr="003354DB">
        <w:rPr>
          <w:rFonts w:eastAsia="Times New Roman"/>
          <w:lang w:val="ru-RU"/>
        </w:rPr>
        <w:t xml:space="preserve">, </w:t>
      </w:r>
      <w:proofErr w:type="spellStart"/>
      <w:r w:rsidRPr="003354DB">
        <w:rPr>
          <w:rFonts w:eastAsia="Times New Roman"/>
          <w:lang w:val="ru-RU"/>
        </w:rPr>
        <w:t>инвестиционна</w:t>
      </w:r>
      <w:proofErr w:type="spellEnd"/>
      <w:r w:rsidRPr="003354DB">
        <w:rPr>
          <w:rFonts w:eastAsia="Times New Roman"/>
          <w:lang w:val="ru-RU"/>
        </w:rPr>
        <w:t xml:space="preserve"> </w:t>
      </w:r>
      <w:proofErr w:type="spellStart"/>
      <w:r w:rsidRPr="003354DB">
        <w:rPr>
          <w:rFonts w:eastAsia="Times New Roman"/>
          <w:lang w:val="ru-RU"/>
        </w:rPr>
        <w:t>дейност</w:t>
      </w:r>
      <w:proofErr w:type="spellEnd"/>
      <w:r w:rsidRPr="003354DB">
        <w:rPr>
          <w:rFonts w:eastAsia="Times New Roman"/>
          <w:lang w:val="ru-RU"/>
        </w:rPr>
        <w:t xml:space="preserve">, </w:t>
      </w:r>
      <w:proofErr w:type="spellStart"/>
      <w:r w:rsidRPr="003354DB">
        <w:rPr>
          <w:rFonts w:eastAsia="Times New Roman"/>
          <w:lang w:val="ru-RU"/>
        </w:rPr>
        <w:t>придобиване</w:t>
      </w:r>
      <w:proofErr w:type="spellEnd"/>
      <w:r w:rsidRPr="003354DB">
        <w:rPr>
          <w:rFonts w:eastAsia="Times New Roman"/>
          <w:lang w:val="ru-RU"/>
        </w:rPr>
        <w:t xml:space="preserve"> и </w:t>
      </w:r>
      <w:proofErr w:type="spellStart"/>
      <w:r w:rsidRPr="003354DB">
        <w:rPr>
          <w:rFonts w:eastAsia="Times New Roman"/>
          <w:lang w:val="ru-RU"/>
        </w:rPr>
        <w:t>разпореждане</w:t>
      </w:r>
      <w:proofErr w:type="spellEnd"/>
      <w:r w:rsidRPr="003354DB">
        <w:rPr>
          <w:rFonts w:eastAsia="Times New Roman"/>
          <w:lang w:val="ru-RU"/>
        </w:rPr>
        <w:t xml:space="preserve"> с </w:t>
      </w:r>
      <w:proofErr w:type="spellStart"/>
      <w:r w:rsidRPr="003354DB">
        <w:rPr>
          <w:rFonts w:eastAsia="Times New Roman"/>
          <w:lang w:val="ru-RU"/>
        </w:rPr>
        <w:t>авторски</w:t>
      </w:r>
      <w:proofErr w:type="spellEnd"/>
      <w:r w:rsidRPr="003354DB">
        <w:rPr>
          <w:rFonts w:eastAsia="Times New Roman"/>
          <w:lang w:val="ru-RU"/>
        </w:rPr>
        <w:t xml:space="preserve"> права </w:t>
      </w:r>
      <w:proofErr w:type="spellStart"/>
      <w:r w:rsidRPr="003354DB">
        <w:rPr>
          <w:rFonts w:eastAsia="Times New Roman"/>
          <w:lang w:val="ru-RU"/>
        </w:rPr>
        <w:t>върху</w:t>
      </w:r>
      <w:proofErr w:type="spellEnd"/>
      <w:r w:rsidRPr="003354DB">
        <w:rPr>
          <w:rFonts w:eastAsia="Times New Roman"/>
          <w:lang w:val="ru-RU"/>
        </w:rPr>
        <w:t xml:space="preserve"> изобретения, </w:t>
      </w:r>
      <w:proofErr w:type="spellStart"/>
      <w:r w:rsidRPr="003354DB">
        <w:rPr>
          <w:rFonts w:eastAsia="Times New Roman"/>
          <w:lang w:val="ru-RU"/>
        </w:rPr>
        <w:t>търговски</w:t>
      </w:r>
      <w:proofErr w:type="spellEnd"/>
      <w:r w:rsidRPr="003354DB">
        <w:rPr>
          <w:rFonts w:eastAsia="Times New Roman"/>
          <w:lang w:val="ru-RU"/>
        </w:rPr>
        <w:t xml:space="preserve"> марки и </w:t>
      </w:r>
      <w:proofErr w:type="spellStart"/>
      <w:r w:rsidRPr="003354DB">
        <w:rPr>
          <w:rFonts w:eastAsia="Times New Roman"/>
          <w:lang w:val="ru-RU"/>
        </w:rPr>
        <w:t>промишлени</w:t>
      </w:r>
      <w:proofErr w:type="spellEnd"/>
      <w:r w:rsidRPr="003354DB">
        <w:rPr>
          <w:rFonts w:eastAsia="Times New Roman"/>
          <w:lang w:val="ru-RU"/>
        </w:rPr>
        <w:t xml:space="preserve"> </w:t>
      </w:r>
      <w:proofErr w:type="spellStart"/>
      <w:r w:rsidRPr="003354DB">
        <w:rPr>
          <w:rFonts w:eastAsia="Times New Roman"/>
          <w:lang w:val="ru-RU"/>
        </w:rPr>
        <w:t>образци</w:t>
      </w:r>
      <w:proofErr w:type="spellEnd"/>
      <w:r w:rsidRPr="003354DB">
        <w:rPr>
          <w:rFonts w:eastAsia="Times New Roman"/>
          <w:lang w:val="ru-RU"/>
        </w:rPr>
        <w:t xml:space="preserve">, ноу-хау и </w:t>
      </w:r>
      <w:proofErr w:type="spellStart"/>
      <w:r w:rsidRPr="003354DB">
        <w:rPr>
          <w:rFonts w:eastAsia="Times New Roman"/>
          <w:lang w:val="ru-RU"/>
        </w:rPr>
        <w:t>други</w:t>
      </w:r>
      <w:proofErr w:type="spellEnd"/>
      <w:r w:rsidRPr="003354DB">
        <w:rPr>
          <w:rFonts w:eastAsia="Times New Roman"/>
          <w:lang w:val="ru-RU"/>
        </w:rPr>
        <w:t xml:space="preserve"> </w:t>
      </w:r>
      <w:proofErr w:type="spellStart"/>
      <w:r w:rsidRPr="003354DB">
        <w:rPr>
          <w:rFonts w:eastAsia="Times New Roman"/>
          <w:lang w:val="ru-RU"/>
        </w:rPr>
        <w:t>обекти</w:t>
      </w:r>
      <w:proofErr w:type="spellEnd"/>
      <w:r w:rsidRPr="003354DB">
        <w:rPr>
          <w:rFonts w:eastAsia="Times New Roman"/>
          <w:lang w:val="ru-RU"/>
        </w:rPr>
        <w:t xml:space="preserve"> на </w:t>
      </w:r>
      <w:proofErr w:type="spellStart"/>
      <w:r w:rsidRPr="003354DB">
        <w:rPr>
          <w:rFonts w:eastAsia="Times New Roman"/>
          <w:lang w:val="ru-RU"/>
        </w:rPr>
        <w:t>интелектуалната</w:t>
      </w:r>
      <w:proofErr w:type="spellEnd"/>
      <w:r w:rsidRPr="003354DB">
        <w:rPr>
          <w:rFonts w:eastAsia="Times New Roman"/>
          <w:lang w:val="ru-RU"/>
        </w:rPr>
        <w:t xml:space="preserve"> </w:t>
      </w:r>
      <w:proofErr w:type="spellStart"/>
      <w:r w:rsidRPr="003354DB">
        <w:rPr>
          <w:rFonts w:eastAsia="Times New Roman"/>
          <w:lang w:val="ru-RU"/>
        </w:rPr>
        <w:t>собственост</w:t>
      </w:r>
      <w:proofErr w:type="spellEnd"/>
      <w:r w:rsidRPr="003354DB">
        <w:rPr>
          <w:rFonts w:eastAsia="Times New Roman"/>
          <w:lang w:val="ru-RU"/>
        </w:rPr>
        <w:t xml:space="preserve">, </w:t>
      </w:r>
      <w:proofErr w:type="spellStart"/>
      <w:r w:rsidRPr="003354DB">
        <w:rPr>
          <w:rFonts w:eastAsia="Times New Roman"/>
          <w:lang w:val="ru-RU"/>
        </w:rPr>
        <w:t>както</w:t>
      </w:r>
      <w:proofErr w:type="spellEnd"/>
      <w:r w:rsidRPr="003354DB">
        <w:rPr>
          <w:rFonts w:eastAsia="Times New Roman"/>
          <w:lang w:val="ru-RU"/>
        </w:rPr>
        <w:t xml:space="preserve"> и всяка друга </w:t>
      </w:r>
      <w:proofErr w:type="spellStart"/>
      <w:r w:rsidRPr="003354DB">
        <w:rPr>
          <w:rFonts w:eastAsia="Times New Roman"/>
          <w:lang w:val="ru-RU"/>
        </w:rPr>
        <w:t>дейност</w:t>
      </w:r>
      <w:proofErr w:type="spellEnd"/>
      <w:r w:rsidRPr="003354DB">
        <w:rPr>
          <w:rFonts w:eastAsia="Times New Roman"/>
          <w:lang w:val="ru-RU"/>
        </w:rPr>
        <w:t xml:space="preserve"> </w:t>
      </w:r>
      <w:proofErr w:type="spellStart"/>
      <w:r w:rsidRPr="003354DB">
        <w:rPr>
          <w:rFonts w:eastAsia="Times New Roman"/>
          <w:lang w:val="ru-RU"/>
        </w:rPr>
        <w:t>незабранена</w:t>
      </w:r>
      <w:proofErr w:type="spellEnd"/>
      <w:r w:rsidRPr="003354DB">
        <w:rPr>
          <w:rFonts w:eastAsia="Times New Roman"/>
          <w:lang w:val="ru-RU"/>
        </w:rPr>
        <w:t xml:space="preserve"> </w:t>
      </w:r>
      <w:proofErr w:type="spellStart"/>
      <w:r w:rsidRPr="003354DB">
        <w:rPr>
          <w:rFonts w:eastAsia="Times New Roman"/>
          <w:lang w:val="ru-RU"/>
        </w:rPr>
        <w:t>със</w:t>
      </w:r>
      <w:proofErr w:type="spellEnd"/>
      <w:r w:rsidRPr="003354DB">
        <w:rPr>
          <w:rFonts w:eastAsia="Times New Roman"/>
          <w:lang w:val="ru-RU"/>
        </w:rPr>
        <w:t xml:space="preserve"> закон или друг нормативен акт.</w:t>
      </w:r>
    </w:p>
    <w:p w:rsidR="00A43F26" w:rsidRPr="0057287F" w:rsidRDefault="00A43F26" w:rsidP="00A43F26">
      <w:pPr>
        <w:pStyle w:val="310"/>
        <w:shd w:val="clear" w:color="auto" w:fill="auto"/>
        <w:tabs>
          <w:tab w:val="left" w:pos="706"/>
        </w:tabs>
        <w:spacing w:before="0" w:after="152" w:line="360" w:lineRule="auto"/>
        <w:ind w:firstLine="0"/>
        <w:jc w:val="both"/>
        <w:rPr>
          <w:b w:val="0"/>
          <w:sz w:val="24"/>
          <w:szCs w:val="24"/>
          <w:lang w:val="bg-BG"/>
        </w:rPr>
      </w:pPr>
      <w:proofErr w:type="gramStart"/>
      <w:r w:rsidRPr="0057287F">
        <w:rPr>
          <w:b w:val="0"/>
          <w:sz w:val="24"/>
          <w:szCs w:val="24"/>
        </w:rPr>
        <w:t xml:space="preserve">С </w:t>
      </w:r>
      <w:proofErr w:type="spellStart"/>
      <w:r w:rsidRPr="0057287F">
        <w:rPr>
          <w:b w:val="0"/>
          <w:sz w:val="24"/>
          <w:szCs w:val="24"/>
        </w:rPr>
        <w:t>решение</w:t>
      </w:r>
      <w:proofErr w:type="spellEnd"/>
      <w:r w:rsidRPr="0057287F">
        <w:rPr>
          <w:b w:val="0"/>
          <w:sz w:val="24"/>
          <w:szCs w:val="24"/>
        </w:rPr>
        <w:t xml:space="preserve"> на </w:t>
      </w:r>
      <w:proofErr w:type="spellStart"/>
      <w:r w:rsidRPr="0057287F">
        <w:rPr>
          <w:b w:val="0"/>
          <w:sz w:val="24"/>
          <w:szCs w:val="24"/>
        </w:rPr>
        <w:t>комисията</w:t>
      </w:r>
      <w:proofErr w:type="spellEnd"/>
      <w:r w:rsidRPr="0057287F">
        <w:rPr>
          <w:b w:val="0"/>
          <w:sz w:val="24"/>
          <w:szCs w:val="24"/>
        </w:rPr>
        <w:t xml:space="preserve"> по </w:t>
      </w:r>
      <w:proofErr w:type="spellStart"/>
      <w:r w:rsidRPr="0057287F">
        <w:rPr>
          <w:b w:val="0"/>
          <w:sz w:val="24"/>
          <w:szCs w:val="24"/>
        </w:rPr>
        <w:t>финансов</w:t>
      </w:r>
      <w:proofErr w:type="spellEnd"/>
      <w:r w:rsidRPr="0057287F">
        <w:rPr>
          <w:b w:val="0"/>
          <w:sz w:val="24"/>
          <w:szCs w:val="24"/>
        </w:rPr>
        <w:t xml:space="preserve"> </w:t>
      </w:r>
      <w:proofErr w:type="spellStart"/>
      <w:r w:rsidRPr="0057287F">
        <w:rPr>
          <w:b w:val="0"/>
          <w:sz w:val="24"/>
          <w:szCs w:val="24"/>
        </w:rPr>
        <w:t>надзор</w:t>
      </w:r>
      <w:proofErr w:type="spellEnd"/>
      <w:r w:rsidRPr="0057287F">
        <w:rPr>
          <w:b w:val="0"/>
          <w:sz w:val="24"/>
          <w:szCs w:val="24"/>
        </w:rPr>
        <w:t xml:space="preserve"> </w:t>
      </w:r>
      <w:proofErr w:type="spellStart"/>
      <w:r w:rsidRPr="0057287F">
        <w:rPr>
          <w:b w:val="0"/>
          <w:sz w:val="24"/>
          <w:szCs w:val="24"/>
        </w:rPr>
        <w:t>от</w:t>
      </w:r>
      <w:proofErr w:type="spellEnd"/>
      <w:r w:rsidRPr="0057287F">
        <w:rPr>
          <w:b w:val="0"/>
          <w:sz w:val="24"/>
          <w:szCs w:val="24"/>
        </w:rPr>
        <w:t xml:space="preserve"> 02.04.2003 г. </w:t>
      </w:r>
      <w:proofErr w:type="spellStart"/>
      <w:r w:rsidRPr="0057287F">
        <w:rPr>
          <w:b w:val="0"/>
          <w:sz w:val="24"/>
          <w:szCs w:val="24"/>
        </w:rPr>
        <w:t>Дружеството</w:t>
      </w:r>
      <w:proofErr w:type="spellEnd"/>
      <w:r w:rsidRPr="0057287F">
        <w:rPr>
          <w:b w:val="0"/>
          <w:sz w:val="24"/>
          <w:szCs w:val="24"/>
        </w:rPr>
        <w:t xml:space="preserve"> е </w:t>
      </w:r>
      <w:proofErr w:type="spellStart"/>
      <w:r w:rsidRPr="0057287F">
        <w:rPr>
          <w:b w:val="0"/>
          <w:sz w:val="24"/>
          <w:szCs w:val="24"/>
        </w:rPr>
        <w:t>вписано</w:t>
      </w:r>
      <w:proofErr w:type="spellEnd"/>
      <w:r w:rsidRPr="0057287F">
        <w:rPr>
          <w:b w:val="0"/>
          <w:sz w:val="24"/>
          <w:szCs w:val="24"/>
        </w:rPr>
        <w:t xml:space="preserve"> </w:t>
      </w:r>
      <w:proofErr w:type="spellStart"/>
      <w:r w:rsidRPr="0057287F">
        <w:rPr>
          <w:b w:val="0"/>
          <w:sz w:val="24"/>
          <w:szCs w:val="24"/>
        </w:rPr>
        <w:t>като</w:t>
      </w:r>
      <w:proofErr w:type="spellEnd"/>
      <w:r w:rsidRPr="0057287F">
        <w:rPr>
          <w:b w:val="0"/>
          <w:sz w:val="24"/>
          <w:szCs w:val="24"/>
        </w:rPr>
        <w:t xml:space="preserve"> </w:t>
      </w:r>
      <w:proofErr w:type="spellStart"/>
      <w:r w:rsidRPr="0057287F">
        <w:rPr>
          <w:b w:val="0"/>
          <w:sz w:val="24"/>
          <w:szCs w:val="24"/>
        </w:rPr>
        <w:t>публично</w:t>
      </w:r>
      <w:proofErr w:type="spellEnd"/>
      <w:r w:rsidRPr="0057287F">
        <w:rPr>
          <w:b w:val="0"/>
          <w:sz w:val="24"/>
          <w:szCs w:val="24"/>
        </w:rPr>
        <w:t xml:space="preserve"> и е </w:t>
      </w:r>
      <w:proofErr w:type="spellStart"/>
      <w:r w:rsidRPr="0057287F">
        <w:rPr>
          <w:b w:val="0"/>
          <w:sz w:val="24"/>
          <w:szCs w:val="24"/>
        </w:rPr>
        <w:t>регистрирана</w:t>
      </w:r>
      <w:proofErr w:type="spellEnd"/>
      <w:r w:rsidRPr="0057287F">
        <w:rPr>
          <w:b w:val="0"/>
          <w:sz w:val="24"/>
          <w:szCs w:val="24"/>
        </w:rPr>
        <w:t xml:space="preserve"> </w:t>
      </w:r>
      <w:proofErr w:type="spellStart"/>
      <w:r w:rsidRPr="0057287F">
        <w:rPr>
          <w:b w:val="0"/>
          <w:sz w:val="24"/>
          <w:szCs w:val="24"/>
        </w:rPr>
        <w:t>емисия</w:t>
      </w:r>
      <w:proofErr w:type="spellEnd"/>
      <w:r w:rsidRPr="0057287F">
        <w:rPr>
          <w:b w:val="0"/>
          <w:sz w:val="24"/>
          <w:szCs w:val="24"/>
        </w:rPr>
        <w:t xml:space="preserve"> </w:t>
      </w:r>
      <w:proofErr w:type="spellStart"/>
      <w:r w:rsidRPr="0057287F">
        <w:rPr>
          <w:b w:val="0"/>
          <w:sz w:val="24"/>
          <w:szCs w:val="24"/>
        </w:rPr>
        <w:t>от</w:t>
      </w:r>
      <w:proofErr w:type="spellEnd"/>
      <w:r w:rsidRPr="0057287F">
        <w:rPr>
          <w:b w:val="0"/>
          <w:sz w:val="24"/>
          <w:szCs w:val="24"/>
        </w:rPr>
        <w:t xml:space="preserve"> </w:t>
      </w:r>
      <w:proofErr w:type="spellStart"/>
      <w:r w:rsidRPr="0057287F">
        <w:rPr>
          <w:b w:val="0"/>
          <w:sz w:val="24"/>
          <w:szCs w:val="24"/>
        </w:rPr>
        <w:t>акции</w:t>
      </w:r>
      <w:proofErr w:type="spellEnd"/>
      <w:r w:rsidRPr="0057287F">
        <w:rPr>
          <w:b w:val="0"/>
          <w:sz w:val="24"/>
          <w:szCs w:val="24"/>
        </w:rPr>
        <w:t xml:space="preserve"> в </w:t>
      </w:r>
      <w:proofErr w:type="spellStart"/>
      <w:r w:rsidRPr="0057287F">
        <w:rPr>
          <w:b w:val="0"/>
          <w:sz w:val="24"/>
          <w:szCs w:val="24"/>
        </w:rPr>
        <w:t>регистъра</w:t>
      </w:r>
      <w:proofErr w:type="spellEnd"/>
      <w:r w:rsidRPr="0057287F">
        <w:rPr>
          <w:b w:val="0"/>
          <w:sz w:val="24"/>
          <w:szCs w:val="24"/>
        </w:rPr>
        <w:t xml:space="preserve"> на </w:t>
      </w:r>
      <w:proofErr w:type="spellStart"/>
      <w:r w:rsidRPr="0057287F">
        <w:rPr>
          <w:b w:val="0"/>
          <w:sz w:val="24"/>
          <w:szCs w:val="24"/>
        </w:rPr>
        <w:t>публичните</w:t>
      </w:r>
      <w:proofErr w:type="spellEnd"/>
      <w:r w:rsidRPr="0057287F">
        <w:rPr>
          <w:b w:val="0"/>
          <w:sz w:val="24"/>
          <w:szCs w:val="24"/>
        </w:rPr>
        <w:t xml:space="preserve"> </w:t>
      </w:r>
      <w:proofErr w:type="spellStart"/>
      <w:r w:rsidRPr="0057287F">
        <w:rPr>
          <w:b w:val="0"/>
          <w:sz w:val="24"/>
          <w:szCs w:val="24"/>
        </w:rPr>
        <w:t>дружества</w:t>
      </w:r>
      <w:proofErr w:type="spellEnd"/>
      <w:r w:rsidRPr="0057287F">
        <w:rPr>
          <w:b w:val="0"/>
          <w:sz w:val="24"/>
          <w:szCs w:val="24"/>
        </w:rPr>
        <w:t>.</w:t>
      </w:r>
      <w:proofErr w:type="gramEnd"/>
      <w:r w:rsidRPr="0057287F">
        <w:rPr>
          <w:b w:val="0"/>
          <w:sz w:val="24"/>
          <w:szCs w:val="24"/>
        </w:rPr>
        <w:t xml:space="preserve"> </w:t>
      </w:r>
      <w:proofErr w:type="spellStart"/>
      <w:proofErr w:type="gramStart"/>
      <w:r w:rsidRPr="0057287F">
        <w:rPr>
          <w:b w:val="0"/>
          <w:sz w:val="24"/>
          <w:szCs w:val="24"/>
        </w:rPr>
        <w:t>Емисията</w:t>
      </w:r>
      <w:proofErr w:type="spellEnd"/>
      <w:r w:rsidRPr="0057287F">
        <w:rPr>
          <w:b w:val="0"/>
          <w:sz w:val="24"/>
          <w:szCs w:val="24"/>
        </w:rPr>
        <w:t xml:space="preserve"> </w:t>
      </w:r>
      <w:proofErr w:type="spellStart"/>
      <w:r w:rsidRPr="0057287F">
        <w:rPr>
          <w:b w:val="0"/>
          <w:sz w:val="24"/>
          <w:szCs w:val="24"/>
        </w:rPr>
        <w:t>включва</w:t>
      </w:r>
      <w:proofErr w:type="spellEnd"/>
      <w:r w:rsidRPr="0057287F">
        <w:rPr>
          <w:b w:val="0"/>
          <w:sz w:val="24"/>
          <w:szCs w:val="24"/>
        </w:rPr>
        <w:t xml:space="preserve"> </w:t>
      </w:r>
      <w:proofErr w:type="spellStart"/>
      <w:r w:rsidRPr="0057287F">
        <w:rPr>
          <w:b w:val="0"/>
          <w:sz w:val="24"/>
          <w:szCs w:val="24"/>
        </w:rPr>
        <w:t>съдебно</w:t>
      </w:r>
      <w:proofErr w:type="spellEnd"/>
      <w:r w:rsidRPr="0057287F">
        <w:rPr>
          <w:b w:val="0"/>
          <w:sz w:val="24"/>
          <w:szCs w:val="24"/>
        </w:rPr>
        <w:t xml:space="preserve"> </w:t>
      </w:r>
      <w:proofErr w:type="spellStart"/>
      <w:r w:rsidRPr="0057287F">
        <w:rPr>
          <w:b w:val="0"/>
          <w:sz w:val="24"/>
          <w:szCs w:val="24"/>
        </w:rPr>
        <w:t>регистрирания</w:t>
      </w:r>
      <w:proofErr w:type="spellEnd"/>
      <w:r w:rsidRPr="0057287F">
        <w:rPr>
          <w:b w:val="0"/>
          <w:sz w:val="24"/>
          <w:szCs w:val="24"/>
        </w:rPr>
        <w:t xml:space="preserve"> </w:t>
      </w:r>
      <w:proofErr w:type="spellStart"/>
      <w:r w:rsidRPr="0057287F">
        <w:rPr>
          <w:b w:val="0"/>
          <w:sz w:val="24"/>
          <w:szCs w:val="24"/>
        </w:rPr>
        <w:t>капитал</w:t>
      </w:r>
      <w:proofErr w:type="spellEnd"/>
      <w:r w:rsidRPr="0057287F">
        <w:rPr>
          <w:b w:val="0"/>
          <w:sz w:val="24"/>
          <w:szCs w:val="24"/>
        </w:rPr>
        <w:t xml:space="preserve"> на </w:t>
      </w:r>
      <w:proofErr w:type="spellStart"/>
      <w:r w:rsidRPr="0057287F">
        <w:rPr>
          <w:b w:val="0"/>
          <w:sz w:val="24"/>
          <w:szCs w:val="24"/>
        </w:rPr>
        <w:t>Дружеството</w:t>
      </w:r>
      <w:proofErr w:type="spellEnd"/>
      <w:r w:rsidRPr="0057287F">
        <w:rPr>
          <w:b w:val="0"/>
          <w:sz w:val="24"/>
          <w:szCs w:val="24"/>
        </w:rPr>
        <w:t xml:space="preserve"> в </w:t>
      </w:r>
      <w:proofErr w:type="spellStart"/>
      <w:r w:rsidRPr="0057287F">
        <w:rPr>
          <w:b w:val="0"/>
          <w:sz w:val="24"/>
          <w:szCs w:val="24"/>
        </w:rPr>
        <w:t>размер</w:t>
      </w:r>
      <w:proofErr w:type="spellEnd"/>
      <w:r w:rsidRPr="0057287F">
        <w:rPr>
          <w:b w:val="0"/>
          <w:sz w:val="24"/>
          <w:szCs w:val="24"/>
        </w:rPr>
        <w:t xml:space="preserve"> на 93 700 </w:t>
      </w:r>
      <w:proofErr w:type="spellStart"/>
      <w:r w:rsidRPr="0057287F">
        <w:rPr>
          <w:b w:val="0"/>
          <w:sz w:val="24"/>
          <w:szCs w:val="24"/>
        </w:rPr>
        <w:t>броя</w:t>
      </w:r>
      <w:proofErr w:type="spellEnd"/>
      <w:r w:rsidRPr="0057287F">
        <w:rPr>
          <w:b w:val="0"/>
          <w:sz w:val="24"/>
          <w:szCs w:val="24"/>
        </w:rPr>
        <w:t xml:space="preserve"> </w:t>
      </w:r>
      <w:proofErr w:type="spellStart"/>
      <w:r w:rsidRPr="0057287F">
        <w:rPr>
          <w:b w:val="0"/>
          <w:sz w:val="24"/>
          <w:szCs w:val="24"/>
        </w:rPr>
        <w:t>акции</w:t>
      </w:r>
      <w:proofErr w:type="spellEnd"/>
      <w:r w:rsidRPr="0057287F">
        <w:rPr>
          <w:b w:val="0"/>
          <w:sz w:val="24"/>
          <w:szCs w:val="24"/>
        </w:rPr>
        <w:t xml:space="preserve"> на </w:t>
      </w:r>
      <w:proofErr w:type="spellStart"/>
      <w:r w:rsidRPr="0057287F">
        <w:rPr>
          <w:b w:val="0"/>
          <w:sz w:val="24"/>
          <w:szCs w:val="24"/>
        </w:rPr>
        <w:t>стойност</w:t>
      </w:r>
      <w:proofErr w:type="spellEnd"/>
      <w:r w:rsidRPr="0057287F">
        <w:rPr>
          <w:b w:val="0"/>
          <w:sz w:val="24"/>
          <w:szCs w:val="24"/>
        </w:rPr>
        <w:t xml:space="preserve"> 10 </w:t>
      </w:r>
      <w:proofErr w:type="spellStart"/>
      <w:r w:rsidRPr="0057287F">
        <w:rPr>
          <w:b w:val="0"/>
          <w:sz w:val="24"/>
          <w:szCs w:val="24"/>
        </w:rPr>
        <w:t>лева</w:t>
      </w:r>
      <w:proofErr w:type="spellEnd"/>
      <w:r w:rsidRPr="0057287F">
        <w:rPr>
          <w:b w:val="0"/>
          <w:sz w:val="24"/>
          <w:szCs w:val="24"/>
        </w:rPr>
        <w:t xml:space="preserve"> </w:t>
      </w:r>
      <w:proofErr w:type="spellStart"/>
      <w:r w:rsidRPr="0057287F">
        <w:rPr>
          <w:b w:val="0"/>
          <w:sz w:val="24"/>
          <w:szCs w:val="24"/>
        </w:rPr>
        <w:t>всяка</w:t>
      </w:r>
      <w:proofErr w:type="spellEnd"/>
      <w:r w:rsidRPr="0057287F">
        <w:rPr>
          <w:b w:val="0"/>
          <w:sz w:val="24"/>
          <w:szCs w:val="24"/>
        </w:rPr>
        <w:t>.</w:t>
      </w:r>
      <w:proofErr w:type="gramEnd"/>
      <w:r w:rsidRPr="0057287F">
        <w:rPr>
          <w:b w:val="0"/>
          <w:sz w:val="24"/>
          <w:szCs w:val="24"/>
          <w:lang w:val="bg-BG"/>
        </w:rPr>
        <w:t xml:space="preserve"> </w:t>
      </w:r>
    </w:p>
    <w:p w:rsidR="003354DB" w:rsidRPr="003354DB" w:rsidRDefault="003354DB" w:rsidP="003354DB">
      <w:pPr>
        <w:spacing w:line="360" w:lineRule="auto"/>
        <w:jc w:val="both"/>
        <w:rPr>
          <w:rFonts w:eastAsia="Times New Roman"/>
        </w:rPr>
      </w:pPr>
      <w:r w:rsidRPr="003354DB">
        <w:rPr>
          <w:rFonts w:eastAsia="Times New Roman"/>
        </w:rPr>
        <w:t xml:space="preserve">По българското право, когато за упражняването на определена дейност се изисква лицензия или друго разрешение от държавен орган, съответната дейност може да се </w:t>
      </w:r>
      <w:r w:rsidRPr="003354DB">
        <w:rPr>
          <w:rFonts w:eastAsia="Times New Roman"/>
        </w:rPr>
        <w:lastRenderedPageBreak/>
        <w:t>упражнява след получаване на такава лицензия или разрешение. ТЕЦ “Марица 3” АД притежава лицензия за производство на електрическа и топлинна енергия № Л-068-03 от 05.02.2001 г. за десет годишен период от датата на издаване.</w:t>
      </w:r>
    </w:p>
    <w:p w:rsidR="003354DB" w:rsidRPr="003354DB" w:rsidRDefault="003354DB" w:rsidP="003354DB">
      <w:pPr>
        <w:spacing w:line="360" w:lineRule="auto"/>
        <w:jc w:val="both"/>
        <w:rPr>
          <w:rFonts w:eastAsia="Times New Roman"/>
        </w:rPr>
      </w:pPr>
      <w:r w:rsidRPr="003354DB">
        <w:rPr>
          <w:rFonts w:eastAsia="Times New Roman"/>
        </w:rPr>
        <w:t xml:space="preserve"> С дата 18.02.2010 г. е подадено заявление № Е-ЗЛР-ПД-11 /18.02.2010 г. за удължаване на срока й за 35 години.  С решение № И1-Л-068 от 21.02.2011 год. лицензията е удължена до 31.12.2015 год., при условията на издаденото комплексно разрешително КР № 41/2007 год. на</w:t>
      </w:r>
    </w:p>
    <w:p w:rsidR="003354DB" w:rsidRPr="003354DB" w:rsidRDefault="003354DB" w:rsidP="003354DB">
      <w:pPr>
        <w:spacing w:line="360" w:lineRule="auto"/>
        <w:jc w:val="both"/>
        <w:rPr>
          <w:rFonts w:eastAsia="Times New Roman"/>
        </w:rPr>
      </w:pPr>
      <w:r w:rsidRPr="003354DB">
        <w:rPr>
          <w:rFonts w:eastAsia="Times New Roman"/>
        </w:rPr>
        <w:t xml:space="preserve">Министерство на околната среда и водите. Подадена е необходимата документация за издаване на ново Комплексно разрешително с вх. №491-ХА-1217/27.06.2011г., отнасяща се до рехабилитация на енергиен блок 120Мвт, включително изграждане на </w:t>
      </w:r>
      <w:proofErr w:type="spellStart"/>
      <w:r w:rsidRPr="003354DB">
        <w:rPr>
          <w:rFonts w:eastAsia="Times New Roman"/>
        </w:rPr>
        <w:t>сероочистваща</w:t>
      </w:r>
      <w:proofErr w:type="spellEnd"/>
      <w:r w:rsidRPr="003354DB">
        <w:rPr>
          <w:rFonts w:eastAsia="Times New Roman"/>
        </w:rPr>
        <w:t xml:space="preserve">  инсталация (СОИ).  На 28.05.2012 г. с Решение на Изпълнителния директор на Изпълнителната агенция по околната среда към Министерството на околната среда и водите №41-Н1-ИО-АО/2012 г. бе издадено Комплексно разрешително №41-Н1/2012 г.</w:t>
      </w:r>
    </w:p>
    <w:p w:rsidR="003354DB" w:rsidRPr="003354DB" w:rsidRDefault="003354DB" w:rsidP="003354DB">
      <w:pPr>
        <w:spacing w:line="360" w:lineRule="auto"/>
        <w:jc w:val="both"/>
        <w:rPr>
          <w:rFonts w:eastAsia="Times New Roman"/>
        </w:rPr>
      </w:pPr>
      <w:r w:rsidRPr="003354DB">
        <w:rPr>
          <w:rFonts w:eastAsia="Times New Roman"/>
        </w:rPr>
        <w:t xml:space="preserve">От 25.09.2012 г. Дружеството  работи със </w:t>
      </w:r>
      <w:proofErr w:type="spellStart"/>
      <w:r w:rsidRPr="003354DB">
        <w:rPr>
          <w:rFonts w:eastAsia="Times New Roman"/>
        </w:rPr>
        <w:t>сероочистваща</w:t>
      </w:r>
      <w:proofErr w:type="spellEnd"/>
      <w:r w:rsidRPr="003354DB">
        <w:rPr>
          <w:rFonts w:eastAsia="Times New Roman"/>
        </w:rPr>
        <w:t xml:space="preserve"> инсталация, като за </w:t>
      </w:r>
      <w:proofErr w:type="spellStart"/>
      <w:r w:rsidRPr="003354DB">
        <w:rPr>
          <w:rFonts w:eastAsia="Times New Roman"/>
        </w:rPr>
        <w:t>абсорбент</w:t>
      </w:r>
      <w:proofErr w:type="spellEnd"/>
      <w:r w:rsidRPr="003354DB">
        <w:rPr>
          <w:rFonts w:eastAsia="Times New Roman"/>
        </w:rPr>
        <w:t xml:space="preserve"> се използва варовиков пулп, варовик и варовикова каша. Показателите за очистване на серните газове са в нормите, определени от МОСВ.</w:t>
      </w:r>
    </w:p>
    <w:p w:rsidR="003354DB" w:rsidRPr="003354DB" w:rsidRDefault="003354DB" w:rsidP="003354DB">
      <w:pPr>
        <w:spacing w:line="360" w:lineRule="auto"/>
        <w:jc w:val="both"/>
        <w:rPr>
          <w:rFonts w:eastAsia="Times New Roman"/>
        </w:rPr>
      </w:pPr>
      <w:r w:rsidRPr="003354DB">
        <w:rPr>
          <w:rFonts w:eastAsia="Times New Roman"/>
        </w:rPr>
        <w:t>С решение № И2-Л-068/05.06.2015 г. на Комисията за енергийно и водно регулиране /КЕВР/ се продължава срока на  лицензия №Л-068-03 от 21.02.2001 г. за дейността „производство на електрическа енергия”, при условията на издадените на дружеството комплексни разрешителни, за пет години, считано от 01.</w:t>
      </w:r>
      <w:proofErr w:type="spellStart"/>
      <w:r w:rsidRPr="003354DB">
        <w:rPr>
          <w:rFonts w:eastAsia="Times New Roman"/>
        </w:rPr>
        <w:t>01</w:t>
      </w:r>
      <w:proofErr w:type="spellEnd"/>
      <w:r w:rsidRPr="003354DB">
        <w:rPr>
          <w:rFonts w:eastAsia="Times New Roman"/>
        </w:rPr>
        <w:t xml:space="preserve">.2016 г. </w:t>
      </w:r>
    </w:p>
    <w:p w:rsidR="003354DB" w:rsidRPr="003354DB" w:rsidRDefault="003354DB" w:rsidP="003354DB">
      <w:pPr>
        <w:spacing w:line="360" w:lineRule="auto"/>
        <w:jc w:val="both"/>
        <w:rPr>
          <w:rFonts w:eastAsia="Times New Roman"/>
        </w:rPr>
      </w:pPr>
      <w:r w:rsidRPr="003354DB">
        <w:rPr>
          <w:rFonts w:eastAsia="Times New Roman"/>
        </w:rPr>
        <w:t xml:space="preserve">На 31.08.2006 година Дружеството получава Лицензия за търговия с електрическа енергия  № Л-206-15/31.08.2006 г. за срок от 10 (десет)  години. </w:t>
      </w:r>
    </w:p>
    <w:p w:rsidR="003354DB" w:rsidRPr="003354DB" w:rsidRDefault="003354DB" w:rsidP="003354DB">
      <w:pPr>
        <w:spacing w:line="360" w:lineRule="auto"/>
        <w:jc w:val="both"/>
        <w:rPr>
          <w:rFonts w:eastAsia="Times New Roman"/>
        </w:rPr>
      </w:pPr>
      <w:r w:rsidRPr="003354DB">
        <w:rPr>
          <w:rFonts w:eastAsia="Times New Roman"/>
        </w:rPr>
        <w:t>На 28.08.2015 г. ТЕЦ ”Марица 3” АД подава заявление за продължаване на срока на лицензия № Л-206-15/31.08.2006 г. за търговия с електрическа енергия за срок от 10 (десет) години от датата на изтичане на лицензията.</w:t>
      </w:r>
    </w:p>
    <w:p w:rsidR="003354DB" w:rsidRPr="003354DB" w:rsidRDefault="003354DB" w:rsidP="003354DB">
      <w:pPr>
        <w:spacing w:line="360" w:lineRule="auto"/>
        <w:jc w:val="both"/>
        <w:rPr>
          <w:rFonts w:eastAsia="Times New Roman"/>
        </w:rPr>
      </w:pPr>
      <w:r w:rsidRPr="003354DB">
        <w:rPr>
          <w:rFonts w:eastAsia="Times New Roman"/>
        </w:rPr>
        <w:t>На 02.07.2020 г., с решение № И44-Л-068/02.07.2020 г. КЕВР продължава срока на лицензията на Дружеството за Производство на електрическа и топлинна енергия за срок от 10 г.,считано от 01.</w:t>
      </w:r>
      <w:proofErr w:type="spellStart"/>
      <w:r w:rsidRPr="003354DB">
        <w:rPr>
          <w:rFonts w:eastAsia="Times New Roman"/>
        </w:rPr>
        <w:t>01</w:t>
      </w:r>
      <w:proofErr w:type="spellEnd"/>
      <w:r w:rsidRPr="003354DB">
        <w:rPr>
          <w:rFonts w:eastAsia="Times New Roman"/>
        </w:rPr>
        <w:t>.2021г.</w:t>
      </w:r>
    </w:p>
    <w:p w:rsidR="003354DB" w:rsidRDefault="003354DB" w:rsidP="003354DB">
      <w:pPr>
        <w:spacing w:line="360" w:lineRule="auto"/>
        <w:jc w:val="both"/>
        <w:rPr>
          <w:rFonts w:eastAsia="Times New Roman"/>
        </w:rPr>
      </w:pPr>
      <w:r w:rsidRPr="003354DB">
        <w:rPr>
          <w:rFonts w:eastAsia="Times New Roman"/>
        </w:rPr>
        <w:t>С решение БП-13/02.07.2020 г. Комисията одобрява на Дружеството и Бизнес план за периода 2020-2024 г., като приложение към лицензията за производство на електрическа  и топлинна енергия.</w:t>
      </w:r>
    </w:p>
    <w:p w:rsidR="00645B04" w:rsidRPr="00344A3B" w:rsidRDefault="00645B04" w:rsidP="00645B04">
      <w:pPr>
        <w:pStyle w:val="310"/>
        <w:shd w:val="clear" w:color="auto" w:fill="auto"/>
        <w:tabs>
          <w:tab w:val="left" w:pos="706"/>
        </w:tabs>
        <w:spacing w:before="0" w:after="152" w:line="360" w:lineRule="auto"/>
        <w:ind w:firstLine="0"/>
        <w:jc w:val="both"/>
        <w:rPr>
          <w:b w:val="0"/>
          <w:sz w:val="24"/>
          <w:szCs w:val="24"/>
          <w:lang w:val="bg-BG"/>
        </w:rPr>
      </w:pPr>
      <w:r w:rsidRPr="00344A3B">
        <w:rPr>
          <w:b w:val="0"/>
          <w:sz w:val="24"/>
          <w:szCs w:val="24"/>
          <w:lang w:val="bg-BG"/>
        </w:rPr>
        <w:t xml:space="preserve">На 31.01.2013г. се извърши регистрация на дъщерно дружество „Марица </w:t>
      </w:r>
      <w:proofErr w:type="spellStart"/>
      <w:r w:rsidRPr="00344A3B">
        <w:rPr>
          <w:b w:val="0"/>
          <w:sz w:val="24"/>
          <w:szCs w:val="24"/>
          <w:lang w:val="bg-BG"/>
        </w:rPr>
        <w:t>Енерджи</w:t>
      </w:r>
      <w:proofErr w:type="spellEnd"/>
      <w:r w:rsidRPr="00344A3B">
        <w:rPr>
          <w:b w:val="0"/>
          <w:sz w:val="24"/>
          <w:szCs w:val="24"/>
          <w:lang w:val="bg-BG"/>
        </w:rPr>
        <w:t>”ЕООД със 100% участие на ТЕЦ Марица 3 АД в  капитала му</w:t>
      </w:r>
      <w:r>
        <w:rPr>
          <w:b w:val="0"/>
          <w:sz w:val="24"/>
          <w:szCs w:val="24"/>
          <w:lang w:val="bg-BG"/>
        </w:rPr>
        <w:t>,</w:t>
      </w:r>
      <w:r w:rsidRPr="00344A3B">
        <w:rPr>
          <w:b w:val="0"/>
          <w:sz w:val="24"/>
          <w:szCs w:val="24"/>
          <w:lang w:val="bg-BG"/>
        </w:rPr>
        <w:t xml:space="preserve"> с предмет на дейност:</w:t>
      </w:r>
      <w:r w:rsidRPr="00344A3B">
        <w:rPr>
          <w:sz w:val="24"/>
          <w:szCs w:val="24"/>
        </w:rPr>
        <w:t xml:space="preserve"> </w:t>
      </w:r>
      <w:proofErr w:type="spellStart"/>
      <w:r w:rsidRPr="00344A3B">
        <w:rPr>
          <w:b w:val="0"/>
          <w:sz w:val="24"/>
          <w:szCs w:val="24"/>
        </w:rPr>
        <w:t>Доставка</w:t>
      </w:r>
      <w:proofErr w:type="spellEnd"/>
      <w:r w:rsidRPr="00344A3B">
        <w:rPr>
          <w:b w:val="0"/>
          <w:sz w:val="24"/>
          <w:szCs w:val="24"/>
        </w:rPr>
        <w:t xml:space="preserve">, </w:t>
      </w:r>
      <w:proofErr w:type="spellStart"/>
      <w:r w:rsidRPr="00344A3B">
        <w:rPr>
          <w:b w:val="0"/>
          <w:sz w:val="24"/>
          <w:szCs w:val="24"/>
        </w:rPr>
        <w:t>съхранение</w:t>
      </w:r>
      <w:proofErr w:type="spellEnd"/>
      <w:r w:rsidRPr="00344A3B">
        <w:rPr>
          <w:b w:val="0"/>
          <w:sz w:val="24"/>
          <w:szCs w:val="24"/>
        </w:rPr>
        <w:t xml:space="preserve"> и </w:t>
      </w:r>
      <w:proofErr w:type="spellStart"/>
      <w:r w:rsidRPr="00344A3B">
        <w:rPr>
          <w:b w:val="0"/>
          <w:sz w:val="24"/>
          <w:szCs w:val="24"/>
        </w:rPr>
        <w:t>търговия</w:t>
      </w:r>
      <w:proofErr w:type="spellEnd"/>
      <w:r w:rsidRPr="00344A3B">
        <w:rPr>
          <w:b w:val="0"/>
          <w:sz w:val="24"/>
          <w:szCs w:val="24"/>
        </w:rPr>
        <w:t xml:space="preserve"> с </w:t>
      </w:r>
      <w:proofErr w:type="spellStart"/>
      <w:r w:rsidRPr="00344A3B">
        <w:rPr>
          <w:b w:val="0"/>
          <w:sz w:val="24"/>
          <w:szCs w:val="24"/>
        </w:rPr>
        <w:t>въглища</w:t>
      </w:r>
      <w:proofErr w:type="spellEnd"/>
      <w:r w:rsidRPr="00344A3B">
        <w:rPr>
          <w:b w:val="0"/>
          <w:sz w:val="24"/>
          <w:szCs w:val="24"/>
        </w:rPr>
        <w:t xml:space="preserve">, </w:t>
      </w:r>
      <w:proofErr w:type="spellStart"/>
      <w:r w:rsidRPr="00344A3B">
        <w:rPr>
          <w:b w:val="0"/>
          <w:sz w:val="24"/>
          <w:szCs w:val="24"/>
        </w:rPr>
        <w:t>брикети</w:t>
      </w:r>
      <w:proofErr w:type="spellEnd"/>
      <w:r w:rsidRPr="00344A3B">
        <w:rPr>
          <w:b w:val="0"/>
          <w:sz w:val="24"/>
          <w:szCs w:val="24"/>
        </w:rPr>
        <w:t xml:space="preserve">, </w:t>
      </w:r>
      <w:proofErr w:type="spellStart"/>
      <w:r w:rsidRPr="00344A3B">
        <w:rPr>
          <w:b w:val="0"/>
          <w:sz w:val="24"/>
          <w:szCs w:val="24"/>
        </w:rPr>
        <w:t>газ</w:t>
      </w:r>
      <w:proofErr w:type="spellEnd"/>
      <w:r w:rsidRPr="00344A3B">
        <w:rPr>
          <w:b w:val="0"/>
          <w:sz w:val="24"/>
          <w:szCs w:val="24"/>
        </w:rPr>
        <w:t xml:space="preserve"> </w:t>
      </w:r>
      <w:proofErr w:type="spellStart"/>
      <w:r w:rsidRPr="00344A3B">
        <w:rPr>
          <w:b w:val="0"/>
          <w:sz w:val="24"/>
          <w:szCs w:val="24"/>
        </w:rPr>
        <w:t>пропан-бутан</w:t>
      </w:r>
      <w:proofErr w:type="spellEnd"/>
      <w:r w:rsidRPr="00344A3B">
        <w:rPr>
          <w:b w:val="0"/>
          <w:sz w:val="24"/>
          <w:szCs w:val="24"/>
        </w:rPr>
        <w:t xml:space="preserve">, </w:t>
      </w:r>
      <w:proofErr w:type="spellStart"/>
      <w:r w:rsidRPr="00344A3B">
        <w:rPr>
          <w:b w:val="0"/>
          <w:sz w:val="24"/>
          <w:szCs w:val="24"/>
        </w:rPr>
        <w:t>течни</w:t>
      </w:r>
      <w:proofErr w:type="spellEnd"/>
      <w:r w:rsidRPr="00344A3B">
        <w:rPr>
          <w:b w:val="0"/>
          <w:sz w:val="24"/>
          <w:szCs w:val="24"/>
        </w:rPr>
        <w:t xml:space="preserve"> </w:t>
      </w:r>
      <w:proofErr w:type="spellStart"/>
      <w:r w:rsidRPr="00344A3B">
        <w:rPr>
          <w:b w:val="0"/>
          <w:sz w:val="24"/>
          <w:szCs w:val="24"/>
        </w:rPr>
        <w:t>горива</w:t>
      </w:r>
      <w:proofErr w:type="spellEnd"/>
      <w:r w:rsidRPr="00344A3B">
        <w:rPr>
          <w:b w:val="0"/>
          <w:sz w:val="24"/>
          <w:szCs w:val="24"/>
        </w:rPr>
        <w:t xml:space="preserve"> и </w:t>
      </w:r>
      <w:proofErr w:type="spellStart"/>
      <w:r w:rsidRPr="00344A3B">
        <w:rPr>
          <w:b w:val="0"/>
          <w:sz w:val="24"/>
          <w:szCs w:val="24"/>
        </w:rPr>
        <w:t>нефтопродукти</w:t>
      </w:r>
      <w:proofErr w:type="spellEnd"/>
      <w:r w:rsidRPr="00344A3B">
        <w:rPr>
          <w:b w:val="0"/>
          <w:sz w:val="24"/>
          <w:szCs w:val="24"/>
        </w:rPr>
        <w:t xml:space="preserve"> </w:t>
      </w:r>
      <w:proofErr w:type="spellStart"/>
      <w:r w:rsidRPr="00344A3B">
        <w:rPr>
          <w:b w:val="0"/>
          <w:sz w:val="24"/>
          <w:szCs w:val="24"/>
        </w:rPr>
        <w:t>от</w:t>
      </w:r>
      <w:proofErr w:type="spellEnd"/>
      <w:r w:rsidRPr="00344A3B">
        <w:rPr>
          <w:b w:val="0"/>
          <w:sz w:val="24"/>
          <w:szCs w:val="24"/>
        </w:rPr>
        <w:t xml:space="preserve"> </w:t>
      </w:r>
      <w:proofErr w:type="spellStart"/>
      <w:r w:rsidRPr="00344A3B">
        <w:rPr>
          <w:b w:val="0"/>
          <w:sz w:val="24"/>
          <w:szCs w:val="24"/>
        </w:rPr>
        <w:t>внос</w:t>
      </w:r>
      <w:proofErr w:type="spellEnd"/>
      <w:r w:rsidRPr="00344A3B">
        <w:rPr>
          <w:b w:val="0"/>
          <w:sz w:val="24"/>
          <w:szCs w:val="24"/>
        </w:rPr>
        <w:t xml:space="preserve">, и </w:t>
      </w:r>
      <w:proofErr w:type="spellStart"/>
      <w:r w:rsidRPr="00344A3B">
        <w:rPr>
          <w:b w:val="0"/>
          <w:sz w:val="24"/>
          <w:szCs w:val="24"/>
        </w:rPr>
        <w:t>местно</w:t>
      </w:r>
      <w:proofErr w:type="spellEnd"/>
      <w:r w:rsidRPr="00344A3B">
        <w:rPr>
          <w:b w:val="0"/>
          <w:sz w:val="24"/>
          <w:szCs w:val="24"/>
        </w:rPr>
        <w:t xml:space="preserve"> </w:t>
      </w:r>
      <w:proofErr w:type="spellStart"/>
      <w:r w:rsidRPr="00344A3B">
        <w:rPr>
          <w:b w:val="0"/>
          <w:sz w:val="24"/>
          <w:szCs w:val="24"/>
        </w:rPr>
        <w:t>производство</w:t>
      </w:r>
      <w:proofErr w:type="spellEnd"/>
      <w:r w:rsidRPr="00344A3B">
        <w:rPr>
          <w:b w:val="0"/>
          <w:sz w:val="24"/>
          <w:szCs w:val="24"/>
        </w:rPr>
        <w:t xml:space="preserve">, </w:t>
      </w:r>
      <w:proofErr w:type="spellStart"/>
      <w:r w:rsidRPr="00344A3B">
        <w:rPr>
          <w:b w:val="0"/>
          <w:sz w:val="24"/>
          <w:szCs w:val="24"/>
        </w:rPr>
        <w:t>вътрешна</w:t>
      </w:r>
      <w:proofErr w:type="spellEnd"/>
      <w:r w:rsidRPr="00344A3B">
        <w:rPr>
          <w:b w:val="0"/>
          <w:sz w:val="24"/>
          <w:szCs w:val="24"/>
        </w:rPr>
        <w:t xml:space="preserve"> и </w:t>
      </w:r>
      <w:proofErr w:type="spellStart"/>
      <w:r w:rsidRPr="00344A3B">
        <w:rPr>
          <w:b w:val="0"/>
          <w:sz w:val="24"/>
          <w:szCs w:val="24"/>
        </w:rPr>
        <w:t>външна</w:t>
      </w:r>
      <w:proofErr w:type="spellEnd"/>
      <w:r w:rsidRPr="00344A3B">
        <w:rPr>
          <w:b w:val="0"/>
          <w:sz w:val="24"/>
          <w:szCs w:val="24"/>
        </w:rPr>
        <w:t xml:space="preserve"> </w:t>
      </w:r>
      <w:proofErr w:type="spellStart"/>
      <w:r w:rsidRPr="00344A3B">
        <w:rPr>
          <w:b w:val="0"/>
          <w:sz w:val="24"/>
          <w:szCs w:val="24"/>
        </w:rPr>
        <w:t>търговия</w:t>
      </w:r>
      <w:proofErr w:type="spellEnd"/>
      <w:r w:rsidRPr="00344A3B">
        <w:rPr>
          <w:b w:val="0"/>
          <w:sz w:val="24"/>
          <w:szCs w:val="24"/>
        </w:rPr>
        <w:t xml:space="preserve"> </w:t>
      </w:r>
      <w:proofErr w:type="spellStart"/>
      <w:r w:rsidRPr="00344A3B">
        <w:rPr>
          <w:b w:val="0"/>
          <w:sz w:val="24"/>
          <w:szCs w:val="24"/>
        </w:rPr>
        <w:lastRenderedPageBreak/>
        <w:t>със</w:t>
      </w:r>
      <w:proofErr w:type="spellEnd"/>
      <w:r w:rsidRPr="00344A3B">
        <w:rPr>
          <w:b w:val="0"/>
          <w:sz w:val="24"/>
          <w:szCs w:val="24"/>
        </w:rPr>
        <w:t xml:space="preserve"> </w:t>
      </w:r>
      <w:proofErr w:type="spellStart"/>
      <w:r w:rsidRPr="00344A3B">
        <w:rPr>
          <w:b w:val="0"/>
          <w:sz w:val="24"/>
          <w:szCs w:val="24"/>
        </w:rPr>
        <w:t>строителни</w:t>
      </w:r>
      <w:proofErr w:type="spellEnd"/>
      <w:r w:rsidRPr="00344A3B">
        <w:rPr>
          <w:b w:val="0"/>
          <w:sz w:val="24"/>
          <w:szCs w:val="24"/>
        </w:rPr>
        <w:t xml:space="preserve"> </w:t>
      </w:r>
      <w:proofErr w:type="spellStart"/>
      <w:r w:rsidRPr="00344A3B">
        <w:rPr>
          <w:b w:val="0"/>
          <w:sz w:val="24"/>
          <w:szCs w:val="24"/>
        </w:rPr>
        <w:t>материали</w:t>
      </w:r>
      <w:proofErr w:type="spellEnd"/>
      <w:r w:rsidRPr="00344A3B">
        <w:rPr>
          <w:b w:val="0"/>
          <w:sz w:val="24"/>
          <w:szCs w:val="24"/>
        </w:rPr>
        <w:t xml:space="preserve"> и </w:t>
      </w:r>
      <w:proofErr w:type="spellStart"/>
      <w:r w:rsidRPr="00344A3B">
        <w:rPr>
          <w:b w:val="0"/>
          <w:sz w:val="24"/>
          <w:szCs w:val="24"/>
        </w:rPr>
        <w:t>стоки</w:t>
      </w:r>
      <w:proofErr w:type="spellEnd"/>
      <w:r w:rsidRPr="00344A3B">
        <w:rPr>
          <w:b w:val="0"/>
          <w:sz w:val="24"/>
          <w:szCs w:val="24"/>
        </w:rPr>
        <w:t xml:space="preserve"> </w:t>
      </w:r>
      <w:proofErr w:type="spellStart"/>
      <w:r w:rsidRPr="00344A3B">
        <w:rPr>
          <w:b w:val="0"/>
          <w:sz w:val="24"/>
          <w:szCs w:val="24"/>
        </w:rPr>
        <w:t>за</w:t>
      </w:r>
      <w:proofErr w:type="spellEnd"/>
      <w:r w:rsidRPr="00344A3B">
        <w:rPr>
          <w:b w:val="0"/>
          <w:sz w:val="24"/>
          <w:szCs w:val="24"/>
        </w:rPr>
        <w:t xml:space="preserve"> </w:t>
      </w:r>
      <w:proofErr w:type="spellStart"/>
      <w:r w:rsidRPr="00344A3B">
        <w:rPr>
          <w:b w:val="0"/>
          <w:sz w:val="24"/>
          <w:szCs w:val="24"/>
        </w:rPr>
        <w:t>промишлено</w:t>
      </w:r>
      <w:proofErr w:type="spellEnd"/>
      <w:r w:rsidRPr="00344A3B">
        <w:rPr>
          <w:b w:val="0"/>
          <w:sz w:val="24"/>
          <w:szCs w:val="24"/>
        </w:rPr>
        <w:t xml:space="preserve"> и </w:t>
      </w:r>
      <w:proofErr w:type="spellStart"/>
      <w:r w:rsidRPr="00344A3B">
        <w:rPr>
          <w:b w:val="0"/>
          <w:sz w:val="24"/>
          <w:szCs w:val="24"/>
        </w:rPr>
        <w:t>жилищно</w:t>
      </w:r>
      <w:proofErr w:type="spellEnd"/>
      <w:r w:rsidRPr="00344A3B">
        <w:rPr>
          <w:b w:val="0"/>
          <w:sz w:val="24"/>
          <w:szCs w:val="24"/>
        </w:rPr>
        <w:t xml:space="preserve"> </w:t>
      </w:r>
      <w:proofErr w:type="spellStart"/>
      <w:r w:rsidRPr="00344A3B">
        <w:rPr>
          <w:b w:val="0"/>
          <w:sz w:val="24"/>
          <w:szCs w:val="24"/>
        </w:rPr>
        <w:t>строителство</w:t>
      </w:r>
      <w:proofErr w:type="spellEnd"/>
      <w:r w:rsidRPr="00344A3B">
        <w:rPr>
          <w:b w:val="0"/>
          <w:sz w:val="24"/>
          <w:szCs w:val="24"/>
        </w:rPr>
        <w:t xml:space="preserve">, </w:t>
      </w:r>
      <w:proofErr w:type="spellStart"/>
      <w:r w:rsidRPr="00344A3B">
        <w:rPr>
          <w:b w:val="0"/>
          <w:sz w:val="24"/>
          <w:szCs w:val="24"/>
        </w:rPr>
        <w:t>инженерингова</w:t>
      </w:r>
      <w:proofErr w:type="spellEnd"/>
      <w:r w:rsidRPr="00344A3B">
        <w:rPr>
          <w:b w:val="0"/>
          <w:sz w:val="24"/>
          <w:szCs w:val="24"/>
        </w:rPr>
        <w:t xml:space="preserve"> </w:t>
      </w:r>
      <w:proofErr w:type="spellStart"/>
      <w:r w:rsidRPr="00344A3B">
        <w:rPr>
          <w:b w:val="0"/>
          <w:sz w:val="24"/>
          <w:szCs w:val="24"/>
        </w:rPr>
        <w:t>дейност-проектиране</w:t>
      </w:r>
      <w:proofErr w:type="spellEnd"/>
      <w:r w:rsidRPr="00344A3B">
        <w:rPr>
          <w:b w:val="0"/>
          <w:sz w:val="24"/>
          <w:szCs w:val="24"/>
        </w:rPr>
        <w:t xml:space="preserve"> и </w:t>
      </w:r>
      <w:proofErr w:type="spellStart"/>
      <w:r w:rsidRPr="00344A3B">
        <w:rPr>
          <w:b w:val="0"/>
          <w:sz w:val="24"/>
          <w:szCs w:val="24"/>
        </w:rPr>
        <w:t>изграждане</w:t>
      </w:r>
      <w:proofErr w:type="spellEnd"/>
      <w:r w:rsidRPr="00344A3B">
        <w:rPr>
          <w:b w:val="0"/>
          <w:sz w:val="24"/>
          <w:szCs w:val="24"/>
        </w:rPr>
        <w:t xml:space="preserve"> на </w:t>
      </w:r>
      <w:proofErr w:type="spellStart"/>
      <w:r w:rsidRPr="00344A3B">
        <w:rPr>
          <w:b w:val="0"/>
          <w:sz w:val="24"/>
          <w:szCs w:val="24"/>
        </w:rPr>
        <w:t>обекти</w:t>
      </w:r>
      <w:proofErr w:type="spellEnd"/>
      <w:r w:rsidRPr="00344A3B">
        <w:rPr>
          <w:b w:val="0"/>
          <w:sz w:val="24"/>
          <w:szCs w:val="24"/>
        </w:rPr>
        <w:t xml:space="preserve"> </w:t>
      </w:r>
      <w:proofErr w:type="spellStart"/>
      <w:r w:rsidRPr="00344A3B">
        <w:rPr>
          <w:b w:val="0"/>
          <w:sz w:val="24"/>
          <w:szCs w:val="24"/>
        </w:rPr>
        <w:t>за</w:t>
      </w:r>
      <w:proofErr w:type="spellEnd"/>
      <w:r w:rsidRPr="00344A3B">
        <w:rPr>
          <w:b w:val="0"/>
          <w:sz w:val="24"/>
          <w:szCs w:val="24"/>
        </w:rPr>
        <w:t xml:space="preserve"> </w:t>
      </w:r>
      <w:proofErr w:type="spellStart"/>
      <w:r w:rsidRPr="00344A3B">
        <w:rPr>
          <w:b w:val="0"/>
          <w:sz w:val="24"/>
          <w:szCs w:val="24"/>
        </w:rPr>
        <w:t>складиране</w:t>
      </w:r>
      <w:proofErr w:type="spellEnd"/>
      <w:r w:rsidRPr="00344A3B">
        <w:rPr>
          <w:b w:val="0"/>
          <w:sz w:val="24"/>
          <w:szCs w:val="24"/>
        </w:rPr>
        <w:t xml:space="preserve">, и </w:t>
      </w:r>
      <w:proofErr w:type="spellStart"/>
      <w:r w:rsidRPr="00344A3B">
        <w:rPr>
          <w:b w:val="0"/>
          <w:sz w:val="24"/>
          <w:szCs w:val="24"/>
        </w:rPr>
        <w:t>съхранение</w:t>
      </w:r>
      <w:proofErr w:type="spellEnd"/>
      <w:r w:rsidRPr="00344A3B">
        <w:rPr>
          <w:b w:val="0"/>
          <w:sz w:val="24"/>
          <w:szCs w:val="24"/>
        </w:rPr>
        <w:t xml:space="preserve"> на </w:t>
      </w:r>
      <w:proofErr w:type="spellStart"/>
      <w:r w:rsidRPr="00344A3B">
        <w:rPr>
          <w:b w:val="0"/>
          <w:sz w:val="24"/>
          <w:szCs w:val="24"/>
        </w:rPr>
        <w:t>горива</w:t>
      </w:r>
      <w:proofErr w:type="spellEnd"/>
      <w:r w:rsidRPr="00344A3B">
        <w:rPr>
          <w:b w:val="0"/>
          <w:sz w:val="24"/>
          <w:szCs w:val="24"/>
        </w:rPr>
        <w:t xml:space="preserve"> и </w:t>
      </w:r>
      <w:proofErr w:type="spellStart"/>
      <w:r w:rsidRPr="00344A3B">
        <w:rPr>
          <w:b w:val="0"/>
          <w:sz w:val="24"/>
          <w:szCs w:val="24"/>
        </w:rPr>
        <w:t>стоки</w:t>
      </w:r>
      <w:proofErr w:type="spellEnd"/>
      <w:r w:rsidRPr="00344A3B">
        <w:rPr>
          <w:b w:val="0"/>
          <w:sz w:val="24"/>
          <w:szCs w:val="24"/>
        </w:rPr>
        <w:t xml:space="preserve">; </w:t>
      </w:r>
      <w:proofErr w:type="spellStart"/>
      <w:r w:rsidRPr="00344A3B">
        <w:rPr>
          <w:b w:val="0"/>
          <w:sz w:val="24"/>
          <w:szCs w:val="24"/>
        </w:rPr>
        <w:t>търговски</w:t>
      </w:r>
      <w:proofErr w:type="spellEnd"/>
      <w:r w:rsidRPr="00344A3B">
        <w:rPr>
          <w:b w:val="0"/>
          <w:sz w:val="24"/>
          <w:szCs w:val="24"/>
        </w:rPr>
        <w:t xml:space="preserve"> </w:t>
      </w:r>
      <w:proofErr w:type="spellStart"/>
      <w:r w:rsidRPr="00344A3B">
        <w:rPr>
          <w:b w:val="0"/>
          <w:sz w:val="24"/>
          <w:szCs w:val="24"/>
        </w:rPr>
        <w:t>комплекси</w:t>
      </w:r>
      <w:proofErr w:type="spellEnd"/>
      <w:r w:rsidRPr="00344A3B">
        <w:rPr>
          <w:b w:val="0"/>
          <w:sz w:val="24"/>
          <w:szCs w:val="24"/>
        </w:rPr>
        <w:t xml:space="preserve">, </w:t>
      </w:r>
      <w:proofErr w:type="spellStart"/>
      <w:r w:rsidRPr="00344A3B">
        <w:rPr>
          <w:b w:val="0"/>
          <w:sz w:val="24"/>
          <w:szCs w:val="24"/>
        </w:rPr>
        <w:t>проектиране</w:t>
      </w:r>
      <w:proofErr w:type="spellEnd"/>
      <w:r w:rsidRPr="00344A3B">
        <w:rPr>
          <w:b w:val="0"/>
          <w:sz w:val="24"/>
          <w:szCs w:val="24"/>
        </w:rPr>
        <w:t xml:space="preserve">, </w:t>
      </w:r>
      <w:proofErr w:type="spellStart"/>
      <w:r w:rsidRPr="00344A3B">
        <w:rPr>
          <w:b w:val="0"/>
          <w:sz w:val="24"/>
          <w:szCs w:val="24"/>
        </w:rPr>
        <w:t>доставка</w:t>
      </w:r>
      <w:proofErr w:type="spellEnd"/>
      <w:r w:rsidRPr="00344A3B">
        <w:rPr>
          <w:b w:val="0"/>
          <w:sz w:val="24"/>
          <w:szCs w:val="24"/>
        </w:rPr>
        <w:t xml:space="preserve"> на </w:t>
      </w:r>
      <w:proofErr w:type="spellStart"/>
      <w:r w:rsidRPr="00344A3B">
        <w:rPr>
          <w:b w:val="0"/>
          <w:sz w:val="24"/>
          <w:szCs w:val="24"/>
        </w:rPr>
        <w:t>съоръжения</w:t>
      </w:r>
      <w:proofErr w:type="spellEnd"/>
      <w:r w:rsidRPr="00344A3B">
        <w:rPr>
          <w:b w:val="0"/>
          <w:sz w:val="24"/>
          <w:szCs w:val="24"/>
        </w:rPr>
        <w:t xml:space="preserve"> и </w:t>
      </w:r>
      <w:proofErr w:type="spellStart"/>
      <w:r w:rsidRPr="00344A3B">
        <w:rPr>
          <w:b w:val="0"/>
          <w:sz w:val="24"/>
          <w:szCs w:val="24"/>
        </w:rPr>
        <w:t>изграждане</w:t>
      </w:r>
      <w:proofErr w:type="spellEnd"/>
      <w:r w:rsidRPr="00344A3B">
        <w:rPr>
          <w:b w:val="0"/>
          <w:sz w:val="24"/>
          <w:szCs w:val="24"/>
        </w:rPr>
        <w:t xml:space="preserve"> на </w:t>
      </w:r>
      <w:proofErr w:type="spellStart"/>
      <w:r w:rsidRPr="00344A3B">
        <w:rPr>
          <w:b w:val="0"/>
          <w:sz w:val="24"/>
          <w:szCs w:val="24"/>
        </w:rPr>
        <w:t>инсталации</w:t>
      </w:r>
      <w:proofErr w:type="spellEnd"/>
      <w:r w:rsidRPr="00344A3B">
        <w:rPr>
          <w:b w:val="0"/>
          <w:sz w:val="24"/>
          <w:szCs w:val="24"/>
        </w:rPr>
        <w:t xml:space="preserve"> </w:t>
      </w:r>
      <w:proofErr w:type="spellStart"/>
      <w:r w:rsidRPr="00344A3B">
        <w:rPr>
          <w:b w:val="0"/>
          <w:sz w:val="24"/>
          <w:szCs w:val="24"/>
        </w:rPr>
        <w:t>за</w:t>
      </w:r>
      <w:proofErr w:type="spellEnd"/>
      <w:r w:rsidRPr="00344A3B">
        <w:rPr>
          <w:b w:val="0"/>
          <w:sz w:val="24"/>
          <w:szCs w:val="24"/>
        </w:rPr>
        <w:t xml:space="preserve"> </w:t>
      </w:r>
      <w:proofErr w:type="spellStart"/>
      <w:r w:rsidRPr="00344A3B">
        <w:rPr>
          <w:b w:val="0"/>
          <w:sz w:val="24"/>
          <w:szCs w:val="24"/>
        </w:rPr>
        <w:t>битово</w:t>
      </w:r>
      <w:proofErr w:type="spellEnd"/>
      <w:r w:rsidRPr="00344A3B">
        <w:rPr>
          <w:b w:val="0"/>
          <w:sz w:val="24"/>
          <w:szCs w:val="24"/>
        </w:rPr>
        <w:t xml:space="preserve"> и </w:t>
      </w:r>
      <w:proofErr w:type="spellStart"/>
      <w:r w:rsidRPr="00344A3B">
        <w:rPr>
          <w:b w:val="0"/>
          <w:sz w:val="24"/>
          <w:szCs w:val="24"/>
        </w:rPr>
        <w:t>промишлено</w:t>
      </w:r>
      <w:proofErr w:type="spellEnd"/>
      <w:r w:rsidRPr="00344A3B">
        <w:rPr>
          <w:b w:val="0"/>
          <w:sz w:val="24"/>
          <w:szCs w:val="24"/>
        </w:rPr>
        <w:t xml:space="preserve"> </w:t>
      </w:r>
      <w:proofErr w:type="spellStart"/>
      <w:r w:rsidRPr="00344A3B">
        <w:rPr>
          <w:b w:val="0"/>
          <w:sz w:val="24"/>
          <w:szCs w:val="24"/>
        </w:rPr>
        <w:t>потребление</w:t>
      </w:r>
      <w:proofErr w:type="spellEnd"/>
      <w:r w:rsidRPr="00344A3B">
        <w:rPr>
          <w:b w:val="0"/>
          <w:sz w:val="24"/>
          <w:szCs w:val="24"/>
        </w:rPr>
        <w:t xml:space="preserve"> на </w:t>
      </w:r>
      <w:proofErr w:type="spellStart"/>
      <w:r w:rsidRPr="00344A3B">
        <w:rPr>
          <w:b w:val="0"/>
          <w:sz w:val="24"/>
          <w:szCs w:val="24"/>
        </w:rPr>
        <w:t>въглища</w:t>
      </w:r>
      <w:proofErr w:type="spellEnd"/>
      <w:r w:rsidRPr="00344A3B">
        <w:rPr>
          <w:b w:val="0"/>
          <w:sz w:val="24"/>
          <w:szCs w:val="24"/>
        </w:rPr>
        <w:t xml:space="preserve"> и </w:t>
      </w:r>
      <w:proofErr w:type="spellStart"/>
      <w:r w:rsidRPr="00344A3B">
        <w:rPr>
          <w:b w:val="0"/>
          <w:sz w:val="24"/>
          <w:szCs w:val="24"/>
        </w:rPr>
        <w:t>брикети</w:t>
      </w:r>
      <w:proofErr w:type="spellEnd"/>
      <w:r w:rsidRPr="00344A3B">
        <w:rPr>
          <w:b w:val="0"/>
          <w:sz w:val="24"/>
          <w:szCs w:val="24"/>
        </w:rPr>
        <w:t xml:space="preserve">, </w:t>
      </w:r>
      <w:proofErr w:type="spellStart"/>
      <w:r w:rsidRPr="00344A3B">
        <w:rPr>
          <w:b w:val="0"/>
          <w:sz w:val="24"/>
          <w:szCs w:val="24"/>
        </w:rPr>
        <w:t>транспортна</w:t>
      </w:r>
      <w:proofErr w:type="spellEnd"/>
      <w:r w:rsidRPr="00344A3B">
        <w:rPr>
          <w:b w:val="0"/>
          <w:sz w:val="24"/>
          <w:szCs w:val="24"/>
        </w:rPr>
        <w:t xml:space="preserve"> и </w:t>
      </w:r>
      <w:proofErr w:type="spellStart"/>
      <w:r w:rsidRPr="00344A3B">
        <w:rPr>
          <w:b w:val="0"/>
          <w:sz w:val="24"/>
          <w:szCs w:val="24"/>
        </w:rPr>
        <w:t>спедиторска</w:t>
      </w:r>
      <w:proofErr w:type="spellEnd"/>
      <w:r w:rsidRPr="00344A3B">
        <w:rPr>
          <w:b w:val="0"/>
          <w:sz w:val="24"/>
          <w:szCs w:val="24"/>
        </w:rPr>
        <w:t xml:space="preserve"> </w:t>
      </w:r>
      <w:proofErr w:type="spellStart"/>
      <w:r w:rsidRPr="00344A3B">
        <w:rPr>
          <w:b w:val="0"/>
          <w:sz w:val="24"/>
          <w:szCs w:val="24"/>
        </w:rPr>
        <w:t>дейност</w:t>
      </w:r>
      <w:proofErr w:type="spellEnd"/>
      <w:r w:rsidRPr="00344A3B">
        <w:rPr>
          <w:b w:val="0"/>
          <w:sz w:val="24"/>
          <w:szCs w:val="24"/>
        </w:rPr>
        <w:t xml:space="preserve"> и </w:t>
      </w:r>
      <w:proofErr w:type="spellStart"/>
      <w:r w:rsidRPr="00344A3B">
        <w:rPr>
          <w:b w:val="0"/>
          <w:sz w:val="24"/>
          <w:szCs w:val="24"/>
        </w:rPr>
        <w:t>услуги</w:t>
      </w:r>
      <w:proofErr w:type="spellEnd"/>
      <w:r w:rsidRPr="00344A3B">
        <w:rPr>
          <w:b w:val="0"/>
          <w:sz w:val="24"/>
          <w:szCs w:val="24"/>
        </w:rPr>
        <w:t xml:space="preserve">, </w:t>
      </w:r>
      <w:proofErr w:type="spellStart"/>
      <w:r w:rsidRPr="00344A3B">
        <w:rPr>
          <w:b w:val="0"/>
          <w:sz w:val="24"/>
          <w:szCs w:val="24"/>
        </w:rPr>
        <w:t>международен</w:t>
      </w:r>
      <w:proofErr w:type="spellEnd"/>
      <w:r w:rsidRPr="00344A3B">
        <w:rPr>
          <w:b w:val="0"/>
          <w:sz w:val="24"/>
          <w:szCs w:val="24"/>
        </w:rPr>
        <w:t xml:space="preserve"> </w:t>
      </w:r>
      <w:proofErr w:type="spellStart"/>
      <w:r w:rsidRPr="00344A3B">
        <w:rPr>
          <w:b w:val="0"/>
          <w:sz w:val="24"/>
          <w:szCs w:val="24"/>
        </w:rPr>
        <w:t>транспорт</w:t>
      </w:r>
      <w:proofErr w:type="spellEnd"/>
      <w:r w:rsidRPr="00344A3B">
        <w:rPr>
          <w:b w:val="0"/>
          <w:sz w:val="24"/>
          <w:szCs w:val="24"/>
        </w:rPr>
        <w:t xml:space="preserve">, </w:t>
      </w:r>
      <w:proofErr w:type="spellStart"/>
      <w:r w:rsidRPr="00344A3B">
        <w:rPr>
          <w:b w:val="0"/>
          <w:sz w:val="24"/>
          <w:szCs w:val="24"/>
        </w:rPr>
        <w:t>отдаване</w:t>
      </w:r>
      <w:proofErr w:type="spellEnd"/>
      <w:r w:rsidRPr="00344A3B">
        <w:rPr>
          <w:b w:val="0"/>
          <w:sz w:val="24"/>
          <w:szCs w:val="24"/>
        </w:rPr>
        <w:t xml:space="preserve"> </w:t>
      </w:r>
      <w:proofErr w:type="spellStart"/>
      <w:r w:rsidRPr="00344A3B">
        <w:rPr>
          <w:b w:val="0"/>
          <w:sz w:val="24"/>
          <w:szCs w:val="24"/>
        </w:rPr>
        <w:t>под</w:t>
      </w:r>
      <w:proofErr w:type="spellEnd"/>
      <w:r w:rsidRPr="00344A3B">
        <w:rPr>
          <w:b w:val="0"/>
          <w:sz w:val="24"/>
          <w:szCs w:val="24"/>
        </w:rPr>
        <w:t xml:space="preserve"> </w:t>
      </w:r>
      <w:proofErr w:type="spellStart"/>
      <w:r w:rsidRPr="00344A3B">
        <w:rPr>
          <w:b w:val="0"/>
          <w:sz w:val="24"/>
          <w:szCs w:val="24"/>
        </w:rPr>
        <w:t>наем</w:t>
      </w:r>
      <w:proofErr w:type="spellEnd"/>
      <w:r w:rsidRPr="00344A3B">
        <w:rPr>
          <w:b w:val="0"/>
          <w:sz w:val="24"/>
          <w:szCs w:val="24"/>
        </w:rPr>
        <w:t xml:space="preserve"> на </w:t>
      </w:r>
      <w:proofErr w:type="spellStart"/>
      <w:r w:rsidRPr="00344A3B">
        <w:rPr>
          <w:b w:val="0"/>
          <w:sz w:val="24"/>
          <w:szCs w:val="24"/>
        </w:rPr>
        <w:t>дълготрайни</w:t>
      </w:r>
      <w:proofErr w:type="spellEnd"/>
      <w:r w:rsidRPr="00344A3B">
        <w:rPr>
          <w:b w:val="0"/>
          <w:sz w:val="24"/>
          <w:szCs w:val="24"/>
        </w:rPr>
        <w:t xml:space="preserve"> </w:t>
      </w:r>
      <w:proofErr w:type="spellStart"/>
      <w:r w:rsidRPr="00344A3B">
        <w:rPr>
          <w:b w:val="0"/>
          <w:sz w:val="24"/>
          <w:szCs w:val="24"/>
        </w:rPr>
        <w:t>активи</w:t>
      </w:r>
      <w:proofErr w:type="spellEnd"/>
      <w:r w:rsidRPr="00344A3B">
        <w:rPr>
          <w:b w:val="0"/>
          <w:sz w:val="24"/>
          <w:szCs w:val="24"/>
        </w:rPr>
        <w:t xml:space="preserve">, </w:t>
      </w:r>
      <w:proofErr w:type="spellStart"/>
      <w:r w:rsidRPr="00344A3B">
        <w:rPr>
          <w:b w:val="0"/>
          <w:sz w:val="24"/>
          <w:szCs w:val="24"/>
        </w:rPr>
        <w:t>търговско</w:t>
      </w:r>
      <w:proofErr w:type="spellEnd"/>
      <w:r w:rsidRPr="00344A3B">
        <w:rPr>
          <w:b w:val="0"/>
          <w:sz w:val="24"/>
          <w:szCs w:val="24"/>
        </w:rPr>
        <w:t xml:space="preserve"> </w:t>
      </w:r>
      <w:proofErr w:type="spellStart"/>
      <w:r w:rsidRPr="00344A3B">
        <w:rPr>
          <w:b w:val="0"/>
          <w:sz w:val="24"/>
          <w:szCs w:val="24"/>
        </w:rPr>
        <w:t>представителство</w:t>
      </w:r>
      <w:proofErr w:type="spellEnd"/>
      <w:r w:rsidRPr="00344A3B">
        <w:rPr>
          <w:b w:val="0"/>
          <w:sz w:val="24"/>
          <w:szCs w:val="24"/>
        </w:rPr>
        <w:t xml:space="preserve"> в </w:t>
      </w:r>
      <w:proofErr w:type="spellStart"/>
      <w:r w:rsidRPr="00344A3B">
        <w:rPr>
          <w:b w:val="0"/>
          <w:sz w:val="24"/>
          <w:szCs w:val="24"/>
        </w:rPr>
        <w:t>страната</w:t>
      </w:r>
      <w:proofErr w:type="spellEnd"/>
      <w:r w:rsidRPr="00344A3B">
        <w:rPr>
          <w:b w:val="0"/>
          <w:sz w:val="24"/>
          <w:szCs w:val="24"/>
        </w:rPr>
        <w:t xml:space="preserve"> и в </w:t>
      </w:r>
      <w:proofErr w:type="spellStart"/>
      <w:r w:rsidRPr="00344A3B">
        <w:rPr>
          <w:b w:val="0"/>
          <w:sz w:val="24"/>
          <w:szCs w:val="24"/>
        </w:rPr>
        <w:t>чужбина</w:t>
      </w:r>
      <w:proofErr w:type="spellEnd"/>
      <w:r w:rsidRPr="00344A3B">
        <w:rPr>
          <w:b w:val="0"/>
          <w:sz w:val="24"/>
          <w:szCs w:val="24"/>
        </w:rPr>
        <w:t xml:space="preserve">, </w:t>
      </w:r>
      <w:proofErr w:type="spellStart"/>
      <w:r w:rsidRPr="00344A3B">
        <w:rPr>
          <w:b w:val="0"/>
          <w:sz w:val="24"/>
          <w:szCs w:val="24"/>
        </w:rPr>
        <w:t>посредническа</w:t>
      </w:r>
      <w:proofErr w:type="spellEnd"/>
      <w:r w:rsidRPr="00344A3B">
        <w:rPr>
          <w:b w:val="0"/>
          <w:sz w:val="24"/>
          <w:szCs w:val="24"/>
        </w:rPr>
        <w:t xml:space="preserve"> </w:t>
      </w:r>
      <w:proofErr w:type="spellStart"/>
      <w:r w:rsidRPr="00344A3B">
        <w:rPr>
          <w:b w:val="0"/>
          <w:sz w:val="24"/>
          <w:szCs w:val="24"/>
        </w:rPr>
        <w:t>дейност</w:t>
      </w:r>
      <w:proofErr w:type="spellEnd"/>
      <w:r w:rsidRPr="00344A3B">
        <w:rPr>
          <w:b w:val="0"/>
          <w:sz w:val="24"/>
          <w:szCs w:val="24"/>
        </w:rPr>
        <w:t xml:space="preserve">, </w:t>
      </w:r>
      <w:proofErr w:type="spellStart"/>
      <w:r w:rsidRPr="00344A3B">
        <w:rPr>
          <w:b w:val="0"/>
          <w:sz w:val="24"/>
          <w:szCs w:val="24"/>
        </w:rPr>
        <w:t>търговия</w:t>
      </w:r>
      <w:proofErr w:type="spellEnd"/>
      <w:r w:rsidRPr="00344A3B">
        <w:rPr>
          <w:b w:val="0"/>
          <w:sz w:val="24"/>
          <w:szCs w:val="24"/>
        </w:rPr>
        <w:t xml:space="preserve"> с </w:t>
      </w:r>
      <w:proofErr w:type="spellStart"/>
      <w:r w:rsidRPr="00344A3B">
        <w:rPr>
          <w:b w:val="0"/>
          <w:sz w:val="24"/>
          <w:szCs w:val="24"/>
        </w:rPr>
        <w:t>химически</w:t>
      </w:r>
      <w:proofErr w:type="spellEnd"/>
      <w:r w:rsidRPr="00344A3B">
        <w:rPr>
          <w:b w:val="0"/>
          <w:sz w:val="24"/>
          <w:szCs w:val="24"/>
        </w:rPr>
        <w:t xml:space="preserve"> </w:t>
      </w:r>
      <w:proofErr w:type="spellStart"/>
      <w:r w:rsidRPr="00344A3B">
        <w:rPr>
          <w:b w:val="0"/>
          <w:sz w:val="24"/>
          <w:szCs w:val="24"/>
        </w:rPr>
        <w:t>продукти</w:t>
      </w:r>
      <w:proofErr w:type="spellEnd"/>
      <w:r w:rsidRPr="00344A3B">
        <w:rPr>
          <w:b w:val="0"/>
          <w:sz w:val="24"/>
          <w:szCs w:val="24"/>
        </w:rPr>
        <w:t xml:space="preserve">, </w:t>
      </w:r>
      <w:proofErr w:type="spellStart"/>
      <w:r w:rsidRPr="00344A3B">
        <w:rPr>
          <w:b w:val="0"/>
          <w:sz w:val="24"/>
          <w:szCs w:val="24"/>
        </w:rPr>
        <w:t>търговия</w:t>
      </w:r>
      <w:proofErr w:type="spellEnd"/>
      <w:r w:rsidRPr="00344A3B">
        <w:rPr>
          <w:b w:val="0"/>
          <w:sz w:val="24"/>
          <w:szCs w:val="24"/>
        </w:rPr>
        <w:t xml:space="preserve"> с </w:t>
      </w:r>
      <w:proofErr w:type="spellStart"/>
      <w:r w:rsidRPr="00344A3B">
        <w:rPr>
          <w:b w:val="0"/>
          <w:sz w:val="24"/>
          <w:szCs w:val="24"/>
        </w:rPr>
        <w:t>източници</w:t>
      </w:r>
      <w:proofErr w:type="spellEnd"/>
      <w:r w:rsidRPr="00344A3B">
        <w:rPr>
          <w:b w:val="0"/>
          <w:sz w:val="24"/>
          <w:szCs w:val="24"/>
        </w:rPr>
        <w:t xml:space="preserve"> на </w:t>
      </w:r>
      <w:proofErr w:type="spellStart"/>
      <w:r w:rsidRPr="00344A3B">
        <w:rPr>
          <w:b w:val="0"/>
          <w:sz w:val="24"/>
          <w:szCs w:val="24"/>
        </w:rPr>
        <w:t>светлина</w:t>
      </w:r>
      <w:proofErr w:type="spellEnd"/>
      <w:r w:rsidRPr="00344A3B">
        <w:rPr>
          <w:b w:val="0"/>
          <w:sz w:val="24"/>
          <w:szCs w:val="24"/>
        </w:rPr>
        <w:t xml:space="preserve"> и </w:t>
      </w:r>
      <w:proofErr w:type="spellStart"/>
      <w:r w:rsidRPr="00344A3B">
        <w:rPr>
          <w:b w:val="0"/>
          <w:sz w:val="24"/>
          <w:szCs w:val="24"/>
        </w:rPr>
        <w:t>топлина</w:t>
      </w:r>
      <w:proofErr w:type="spellEnd"/>
      <w:r w:rsidRPr="00344A3B">
        <w:rPr>
          <w:b w:val="0"/>
          <w:sz w:val="24"/>
          <w:szCs w:val="24"/>
        </w:rPr>
        <w:t xml:space="preserve">, </w:t>
      </w:r>
      <w:proofErr w:type="spellStart"/>
      <w:r w:rsidRPr="00344A3B">
        <w:rPr>
          <w:b w:val="0"/>
          <w:sz w:val="24"/>
          <w:szCs w:val="24"/>
        </w:rPr>
        <w:t>покупки</w:t>
      </w:r>
      <w:proofErr w:type="spellEnd"/>
      <w:r w:rsidRPr="00344A3B">
        <w:rPr>
          <w:b w:val="0"/>
          <w:sz w:val="24"/>
          <w:szCs w:val="24"/>
        </w:rPr>
        <w:t xml:space="preserve"> и </w:t>
      </w:r>
      <w:proofErr w:type="spellStart"/>
      <w:r w:rsidRPr="00344A3B">
        <w:rPr>
          <w:b w:val="0"/>
          <w:sz w:val="24"/>
          <w:szCs w:val="24"/>
        </w:rPr>
        <w:t>продажби</w:t>
      </w:r>
      <w:proofErr w:type="spellEnd"/>
      <w:r w:rsidRPr="00344A3B">
        <w:rPr>
          <w:b w:val="0"/>
          <w:sz w:val="24"/>
          <w:szCs w:val="24"/>
        </w:rPr>
        <w:t xml:space="preserve"> на </w:t>
      </w:r>
      <w:proofErr w:type="spellStart"/>
      <w:r w:rsidRPr="00344A3B">
        <w:rPr>
          <w:b w:val="0"/>
          <w:sz w:val="24"/>
          <w:szCs w:val="24"/>
        </w:rPr>
        <w:t>машини</w:t>
      </w:r>
      <w:proofErr w:type="spellEnd"/>
      <w:r w:rsidRPr="00344A3B">
        <w:rPr>
          <w:b w:val="0"/>
          <w:sz w:val="24"/>
          <w:szCs w:val="24"/>
        </w:rPr>
        <w:t xml:space="preserve">, </w:t>
      </w:r>
      <w:proofErr w:type="spellStart"/>
      <w:r w:rsidRPr="00344A3B">
        <w:rPr>
          <w:b w:val="0"/>
          <w:sz w:val="24"/>
          <w:szCs w:val="24"/>
        </w:rPr>
        <w:t>съоръжения</w:t>
      </w:r>
      <w:proofErr w:type="spellEnd"/>
      <w:r w:rsidRPr="00344A3B">
        <w:rPr>
          <w:b w:val="0"/>
          <w:sz w:val="24"/>
          <w:szCs w:val="24"/>
        </w:rPr>
        <w:t xml:space="preserve"> и </w:t>
      </w:r>
      <w:proofErr w:type="spellStart"/>
      <w:r w:rsidRPr="00344A3B">
        <w:rPr>
          <w:b w:val="0"/>
          <w:sz w:val="24"/>
          <w:szCs w:val="24"/>
        </w:rPr>
        <w:t>недвижими</w:t>
      </w:r>
      <w:proofErr w:type="spellEnd"/>
      <w:r w:rsidRPr="00344A3B">
        <w:rPr>
          <w:b w:val="0"/>
          <w:sz w:val="24"/>
          <w:szCs w:val="24"/>
        </w:rPr>
        <w:t xml:space="preserve"> </w:t>
      </w:r>
      <w:proofErr w:type="spellStart"/>
      <w:r w:rsidRPr="00344A3B">
        <w:rPr>
          <w:b w:val="0"/>
          <w:sz w:val="24"/>
          <w:szCs w:val="24"/>
        </w:rPr>
        <w:t>имоти</w:t>
      </w:r>
      <w:proofErr w:type="spellEnd"/>
      <w:r w:rsidRPr="00344A3B">
        <w:rPr>
          <w:b w:val="0"/>
          <w:sz w:val="24"/>
          <w:szCs w:val="24"/>
        </w:rPr>
        <w:t xml:space="preserve">, </w:t>
      </w:r>
      <w:proofErr w:type="spellStart"/>
      <w:r w:rsidRPr="00344A3B">
        <w:rPr>
          <w:b w:val="0"/>
          <w:sz w:val="24"/>
          <w:szCs w:val="24"/>
        </w:rPr>
        <w:t>като</w:t>
      </w:r>
      <w:proofErr w:type="spellEnd"/>
      <w:r w:rsidRPr="00344A3B">
        <w:rPr>
          <w:b w:val="0"/>
          <w:sz w:val="24"/>
          <w:szCs w:val="24"/>
        </w:rPr>
        <w:t xml:space="preserve"> </w:t>
      </w:r>
      <w:proofErr w:type="spellStart"/>
      <w:r w:rsidRPr="00344A3B">
        <w:rPr>
          <w:b w:val="0"/>
          <w:sz w:val="24"/>
          <w:szCs w:val="24"/>
        </w:rPr>
        <w:t>дружеството</w:t>
      </w:r>
      <w:proofErr w:type="spellEnd"/>
      <w:r w:rsidRPr="00344A3B">
        <w:rPr>
          <w:b w:val="0"/>
          <w:sz w:val="24"/>
          <w:szCs w:val="24"/>
        </w:rPr>
        <w:t xml:space="preserve"> </w:t>
      </w:r>
      <w:proofErr w:type="spellStart"/>
      <w:r w:rsidRPr="00344A3B">
        <w:rPr>
          <w:b w:val="0"/>
          <w:sz w:val="24"/>
          <w:szCs w:val="24"/>
        </w:rPr>
        <w:t>може</w:t>
      </w:r>
      <w:proofErr w:type="spellEnd"/>
      <w:r w:rsidRPr="00344A3B">
        <w:rPr>
          <w:b w:val="0"/>
          <w:sz w:val="24"/>
          <w:szCs w:val="24"/>
        </w:rPr>
        <w:t xml:space="preserve"> </w:t>
      </w:r>
      <w:proofErr w:type="spellStart"/>
      <w:r w:rsidRPr="00344A3B">
        <w:rPr>
          <w:b w:val="0"/>
          <w:sz w:val="24"/>
          <w:szCs w:val="24"/>
        </w:rPr>
        <w:t>да</w:t>
      </w:r>
      <w:proofErr w:type="spellEnd"/>
      <w:r w:rsidRPr="00344A3B">
        <w:rPr>
          <w:b w:val="0"/>
          <w:sz w:val="24"/>
          <w:szCs w:val="24"/>
        </w:rPr>
        <w:t xml:space="preserve"> </w:t>
      </w:r>
      <w:proofErr w:type="spellStart"/>
      <w:r w:rsidRPr="00344A3B">
        <w:rPr>
          <w:b w:val="0"/>
          <w:sz w:val="24"/>
          <w:szCs w:val="24"/>
        </w:rPr>
        <w:t>извършва</w:t>
      </w:r>
      <w:proofErr w:type="spellEnd"/>
      <w:r w:rsidRPr="00344A3B">
        <w:rPr>
          <w:b w:val="0"/>
          <w:sz w:val="24"/>
          <w:szCs w:val="24"/>
        </w:rPr>
        <w:t xml:space="preserve"> и </w:t>
      </w:r>
      <w:proofErr w:type="spellStart"/>
      <w:r w:rsidRPr="00344A3B">
        <w:rPr>
          <w:b w:val="0"/>
          <w:sz w:val="24"/>
          <w:szCs w:val="24"/>
        </w:rPr>
        <w:t>всякаква</w:t>
      </w:r>
      <w:proofErr w:type="spellEnd"/>
      <w:r w:rsidRPr="00344A3B">
        <w:rPr>
          <w:b w:val="0"/>
          <w:sz w:val="24"/>
          <w:szCs w:val="24"/>
        </w:rPr>
        <w:t xml:space="preserve"> </w:t>
      </w:r>
      <w:proofErr w:type="spellStart"/>
      <w:r w:rsidRPr="00344A3B">
        <w:rPr>
          <w:b w:val="0"/>
          <w:sz w:val="24"/>
          <w:szCs w:val="24"/>
        </w:rPr>
        <w:t>друга</w:t>
      </w:r>
      <w:proofErr w:type="spellEnd"/>
      <w:r w:rsidRPr="00344A3B">
        <w:rPr>
          <w:b w:val="0"/>
          <w:sz w:val="24"/>
          <w:szCs w:val="24"/>
        </w:rPr>
        <w:t xml:space="preserve"> </w:t>
      </w:r>
      <w:proofErr w:type="spellStart"/>
      <w:r w:rsidRPr="00344A3B">
        <w:rPr>
          <w:b w:val="0"/>
          <w:sz w:val="24"/>
          <w:szCs w:val="24"/>
        </w:rPr>
        <w:t>дейност</w:t>
      </w:r>
      <w:proofErr w:type="spellEnd"/>
      <w:r w:rsidRPr="00344A3B">
        <w:rPr>
          <w:b w:val="0"/>
          <w:sz w:val="24"/>
          <w:szCs w:val="24"/>
        </w:rPr>
        <w:t xml:space="preserve">, </w:t>
      </w:r>
      <w:proofErr w:type="spellStart"/>
      <w:r w:rsidRPr="00344A3B">
        <w:rPr>
          <w:b w:val="0"/>
          <w:sz w:val="24"/>
          <w:szCs w:val="24"/>
        </w:rPr>
        <w:t>незабранена</w:t>
      </w:r>
      <w:proofErr w:type="spellEnd"/>
      <w:r w:rsidRPr="00344A3B">
        <w:rPr>
          <w:b w:val="0"/>
          <w:sz w:val="24"/>
          <w:szCs w:val="24"/>
        </w:rPr>
        <w:t xml:space="preserve"> </w:t>
      </w:r>
      <w:proofErr w:type="spellStart"/>
      <w:r w:rsidRPr="00344A3B">
        <w:rPr>
          <w:b w:val="0"/>
          <w:sz w:val="24"/>
          <w:szCs w:val="24"/>
        </w:rPr>
        <w:t>със</w:t>
      </w:r>
      <w:proofErr w:type="spellEnd"/>
      <w:r w:rsidRPr="00344A3B">
        <w:rPr>
          <w:b w:val="0"/>
          <w:sz w:val="24"/>
          <w:szCs w:val="24"/>
        </w:rPr>
        <w:t xml:space="preserve"> </w:t>
      </w:r>
      <w:proofErr w:type="spellStart"/>
      <w:r w:rsidRPr="00344A3B">
        <w:rPr>
          <w:b w:val="0"/>
          <w:sz w:val="24"/>
          <w:szCs w:val="24"/>
        </w:rPr>
        <w:t>закон</w:t>
      </w:r>
      <w:proofErr w:type="spellEnd"/>
      <w:r w:rsidRPr="00344A3B">
        <w:rPr>
          <w:b w:val="0"/>
          <w:sz w:val="24"/>
          <w:szCs w:val="24"/>
        </w:rPr>
        <w:t>.</w:t>
      </w:r>
    </w:p>
    <w:p w:rsidR="00AD687D" w:rsidRPr="00412493" w:rsidRDefault="003354DB" w:rsidP="00A43F26">
      <w:pPr>
        <w:spacing w:line="360" w:lineRule="auto"/>
        <w:jc w:val="both"/>
        <w:rPr>
          <w:color w:val="000000"/>
        </w:rPr>
      </w:pPr>
      <w:r w:rsidRPr="003354DB">
        <w:rPr>
          <w:rFonts w:eastAsia="Times New Roman"/>
        </w:rPr>
        <w:tab/>
      </w:r>
    </w:p>
    <w:p w:rsidR="00AD687D" w:rsidRPr="00412493" w:rsidRDefault="00AD687D" w:rsidP="003354DB">
      <w:pPr>
        <w:keepNext/>
        <w:numPr>
          <w:ilvl w:val="0"/>
          <w:numId w:val="10"/>
        </w:numPr>
        <w:spacing w:line="360" w:lineRule="auto"/>
        <w:ind w:left="714" w:right="74" w:hanging="357"/>
        <w:jc w:val="both"/>
        <w:rPr>
          <w:b/>
          <w:u w:val="single"/>
        </w:rPr>
      </w:pPr>
      <w:r w:rsidRPr="00412493">
        <w:rPr>
          <w:b/>
          <w:u w:val="single"/>
        </w:rPr>
        <w:t>ВЛИЯНИЕ НА ВАЖНИТЕ СЪБИТИЯ, НАСТЪПИЛИ КЪМ 31.12.2021 г. ВЪРХУ РЕЗУЛТАТИТЕ ВЪВ ФИНАНСОВИЯ ОТЧЕТ</w:t>
      </w:r>
    </w:p>
    <w:p w:rsidR="00AD687D" w:rsidRPr="00412493" w:rsidRDefault="00AD687D" w:rsidP="00AD687D">
      <w:pPr>
        <w:keepNext/>
        <w:ind w:left="360" w:right="74"/>
        <w:jc w:val="both"/>
        <w:rPr>
          <w:b/>
          <w:u w:val="single"/>
        </w:rPr>
      </w:pPr>
    </w:p>
    <w:p w:rsidR="00AD687D" w:rsidRPr="00B340AD" w:rsidRDefault="009645FC" w:rsidP="00B340AD">
      <w:pPr>
        <w:spacing w:line="360" w:lineRule="auto"/>
        <w:jc w:val="both"/>
        <w:rPr>
          <w:rFonts w:eastAsia="Times New Roman"/>
        </w:rPr>
      </w:pPr>
      <w:bookmarkStart w:id="3" w:name="_Hlk41650500"/>
      <w:r>
        <w:rPr>
          <w:rFonts w:eastAsia="Times New Roman"/>
        </w:rPr>
        <w:t>За периода 01.10.2021-31.12.2021 г.</w:t>
      </w:r>
      <w:r w:rsidR="00AD687D" w:rsidRPr="00B340AD">
        <w:rPr>
          <w:rFonts w:eastAsia="Times New Roman"/>
        </w:rPr>
        <w:t xml:space="preserve"> </w:t>
      </w:r>
      <w:r w:rsidR="00831226">
        <w:rPr>
          <w:rFonts w:eastAsia="Times New Roman"/>
        </w:rPr>
        <w:t>групата</w:t>
      </w:r>
      <w:r w:rsidR="00B340AD" w:rsidRPr="00B340AD">
        <w:rPr>
          <w:rFonts w:eastAsia="Times New Roman"/>
        </w:rPr>
        <w:t xml:space="preserve"> </w:t>
      </w:r>
      <w:r w:rsidR="00AD687D" w:rsidRPr="00B340AD">
        <w:rPr>
          <w:rFonts w:eastAsia="Times New Roman"/>
        </w:rPr>
        <w:t xml:space="preserve">отчита нетни приходи от продажби на стойност </w:t>
      </w:r>
      <w:r>
        <w:rPr>
          <w:rFonts w:eastAsia="Times New Roman"/>
        </w:rPr>
        <w:t>7 301</w:t>
      </w:r>
      <w:r w:rsidR="00AE4614">
        <w:rPr>
          <w:rFonts w:eastAsia="Times New Roman"/>
        </w:rPr>
        <w:t xml:space="preserve"> </w:t>
      </w:r>
      <w:r w:rsidR="00AD687D" w:rsidRPr="00B340AD">
        <w:rPr>
          <w:rFonts w:eastAsia="Times New Roman"/>
        </w:rPr>
        <w:t xml:space="preserve">хил. лв., което представлява </w:t>
      </w:r>
      <w:r>
        <w:rPr>
          <w:rFonts w:eastAsia="Times New Roman"/>
        </w:rPr>
        <w:t>намаление</w:t>
      </w:r>
      <w:r w:rsidR="00AD687D" w:rsidRPr="00B340AD">
        <w:rPr>
          <w:rFonts w:eastAsia="Times New Roman"/>
        </w:rPr>
        <w:t xml:space="preserve"> на нетните приходи от продажби </w:t>
      </w:r>
      <w:r w:rsidR="00AD687D" w:rsidRPr="007705C2">
        <w:rPr>
          <w:rFonts w:eastAsia="Times New Roman"/>
        </w:rPr>
        <w:t xml:space="preserve">с </w:t>
      </w:r>
      <w:r w:rsidR="007705C2" w:rsidRPr="007705C2">
        <w:rPr>
          <w:rFonts w:eastAsia="Times New Roman"/>
        </w:rPr>
        <w:t>40,27</w:t>
      </w:r>
      <w:r w:rsidR="00AD687D" w:rsidRPr="007705C2">
        <w:rPr>
          <w:rFonts w:eastAsia="Times New Roman"/>
        </w:rPr>
        <w:t xml:space="preserve"> %</w:t>
      </w:r>
      <w:r w:rsidR="00AD687D" w:rsidRPr="00B340AD">
        <w:rPr>
          <w:rFonts w:eastAsia="Times New Roman"/>
        </w:rPr>
        <w:t xml:space="preserve"> спрямо същия период на 2020 г., когато са отчетени нетни приходи от продажби в размер на </w:t>
      </w:r>
      <w:r>
        <w:rPr>
          <w:rFonts w:eastAsia="Times New Roman"/>
        </w:rPr>
        <w:t>18 128</w:t>
      </w:r>
      <w:r w:rsidR="00AD687D" w:rsidRPr="00B340AD">
        <w:rPr>
          <w:rFonts w:eastAsia="Times New Roman"/>
        </w:rPr>
        <w:t xml:space="preserve"> хил. лв. Нетните приходи от продажба на </w:t>
      </w:r>
      <w:r w:rsidR="00831226">
        <w:rPr>
          <w:rFonts w:eastAsia="Times New Roman"/>
        </w:rPr>
        <w:t>групата</w:t>
      </w:r>
      <w:r w:rsidR="00AD687D" w:rsidRPr="00B340AD">
        <w:rPr>
          <w:rFonts w:eastAsia="Times New Roman"/>
        </w:rPr>
        <w:t xml:space="preserve"> към включват </w:t>
      </w:r>
      <w:r w:rsidR="007705C2">
        <w:rPr>
          <w:rFonts w:eastAsia="Times New Roman"/>
        </w:rPr>
        <w:t>89,88</w:t>
      </w:r>
      <w:r w:rsidR="00AD687D" w:rsidRPr="00B340AD">
        <w:rPr>
          <w:rFonts w:eastAsia="Times New Roman"/>
        </w:rPr>
        <w:t> % п</w:t>
      </w:r>
      <w:r w:rsidR="00AE4614">
        <w:rPr>
          <w:rFonts w:eastAsia="Times New Roman"/>
        </w:rPr>
        <w:t xml:space="preserve">риходи от продажба на </w:t>
      </w:r>
      <w:r w:rsidR="007705C2">
        <w:rPr>
          <w:rFonts w:eastAsia="Times New Roman"/>
        </w:rPr>
        <w:t>продукция</w:t>
      </w:r>
      <w:r w:rsidR="00AE4614">
        <w:rPr>
          <w:rFonts w:eastAsia="Times New Roman"/>
        </w:rPr>
        <w:t xml:space="preserve"> и </w:t>
      </w:r>
      <w:r w:rsidR="007705C2">
        <w:rPr>
          <w:rFonts w:eastAsia="Times New Roman"/>
        </w:rPr>
        <w:t>10,12</w:t>
      </w:r>
      <w:r w:rsidR="00AD687D" w:rsidRPr="00B340AD">
        <w:rPr>
          <w:rFonts w:eastAsia="Times New Roman"/>
        </w:rPr>
        <w:t xml:space="preserve">% други приходи. </w:t>
      </w:r>
      <w:r w:rsidR="00831226">
        <w:rPr>
          <w:rFonts w:eastAsia="Times New Roman"/>
        </w:rPr>
        <w:t>Групата</w:t>
      </w:r>
      <w:r w:rsidR="00AD687D" w:rsidRPr="00B340AD">
        <w:rPr>
          <w:rFonts w:eastAsia="Times New Roman"/>
        </w:rPr>
        <w:t xml:space="preserve"> отчита приходи от лихви в размер на </w:t>
      </w:r>
      <w:r>
        <w:rPr>
          <w:rFonts w:eastAsia="Times New Roman"/>
        </w:rPr>
        <w:t>603</w:t>
      </w:r>
      <w:r w:rsidR="00AD687D" w:rsidRPr="00B340AD">
        <w:rPr>
          <w:rFonts w:eastAsia="Times New Roman"/>
        </w:rPr>
        <w:t xml:space="preserve"> хил. лв. спрямо отчетените за същия период на 2020 г. приходи от лихви в размер на </w:t>
      </w:r>
      <w:r>
        <w:rPr>
          <w:rFonts w:eastAsia="Times New Roman"/>
        </w:rPr>
        <w:t>1 762</w:t>
      </w:r>
      <w:r w:rsidR="00AD687D" w:rsidRPr="00B340AD">
        <w:rPr>
          <w:rFonts w:eastAsia="Times New Roman"/>
        </w:rPr>
        <w:t xml:space="preserve"> хил. лв. </w:t>
      </w:r>
    </w:p>
    <w:p w:rsidR="00AD687D" w:rsidRPr="00B340AD" w:rsidRDefault="00AD687D" w:rsidP="00B340AD">
      <w:pPr>
        <w:spacing w:line="360" w:lineRule="auto"/>
        <w:jc w:val="both"/>
        <w:rPr>
          <w:rFonts w:eastAsia="Times New Roman"/>
        </w:rPr>
      </w:pPr>
      <w:r w:rsidRPr="00B340AD">
        <w:rPr>
          <w:rFonts w:eastAsia="Times New Roman"/>
        </w:rPr>
        <w:t xml:space="preserve">Общо приходите от дейността на </w:t>
      </w:r>
      <w:r w:rsidR="00831226">
        <w:rPr>
          <w:rFonts w:eastAsia="Times New Roman"/>
        </w:rPr>
        <w:t>групата</w:t>
      </w:r>
      <w:r w:rsidRPr="00B340AD">
        <w:rPr>
          <w:rFonts w:eastAsia="Times New Roman"/>
        </w:rPr>
        <w:t xml:space="preserve"> към 31.12.2021 г. са в размер на </w:t>
      </w:r>
      <w:r w:rsidR="007705C2">
        <w:rPr>
          <w:rFonts w:eastAsia="Times New Roman"/>
        </w:rPr>
        <w:t>7 906</w:t>
      </w:r>
      <w:r w:rsidRPr="00B340AD">
        <w:rPr>
          <w:rFonts w:eastAsia="Times New Roman"/>
        </w:rPr>
        <w:t xml:space="preserve"> хил. лв. и регистрират </w:t>
      </w:r>
      <w:r w:rsidR="007705C2">
        <w:rPr>
          <w:rFonts w:eastAsia="Times New Roman"/>
        </w:rPr>
        <w:t>намаление</w:t>
      </w:r>
      <w:r w:rsidRPr="00B340AD">
        <w:rPr>
          <w:rFonts w:eastAsia="Times New Roman"/>
        </w:rPr>
        <w:t xml:space="preserve"> от </w:t>
      </w:r>
      <w:r w:rsidR="007705C2">
        <w:rPr>
          <w:rFonts w:eastAsia="Times New Roman"/>
        </w:rPr>
        <w:t>39,73</w:t>
      </w:r>
      <w:r w:rsidRPr="00B340AD">
        <w:rPr>
          <w:rFonts w:eastAsia="Times New Roman"/>
        </w:rPr>
        <w:t xml:space="preserve">% в сравнение със същия период на 2020 г., когато са отчетени общо приходи от дейността в размер </w:t>
      </w:r>
      <w:r w:rsidR="00AE4614">
        <w:rPr>
          <w:rFonts w:eastAsia="Times New Roman"/>
        </w:rPr>
        <w:t xml:space="preserve">19 </w:t>
      </w:r>
      <w:r w:rsidR="007705C2">
        <w:rPr>
          <w:rFonts w:eastAsia="Times New Roman"/>
        </w:rPr>
        <w:t>879</w:t>
      </w:r>
      <w:r w:rsidRPr="00B340AD">
        <w:rPr>
          <w:rFonts w:eastAsia="Times New Roman"/>
        </w:rPr>
        <w:t xml:space="preserve"> хил. лв. </w:t>
      </w:r>
    </w:p>
    <w:p w:rsidR="00AD687D" w:rsidRDefault="00AD687D" w:rsidP="00B340AD">
      <w:pPr>
        <w:spacing w:line="360" w:lineRule="auto"/>
        <w:jc w:val="both"/>
        <w:rPr>
          <w:rFonts w:eastAsia="Times New Roman"/>
        </w:rPr>
      </w:pPr>
      <w:r w:rsidRPr="00B340AD">
        <w:rPr>
          <w:rFonts w:eastAsia="Times New Roman"/>
        </w:rPr>
        <w:t xml:space="preserve">Общо разходите за дейността към 31.12.2021 г. са в размер на </w:t>
      </w:r>
      <w:r w:rsidR="007705C2">
        <w:rPr>
          <w:rFonts w:eastAsia="Times New Roman"/>
        </w:rPr>
        <w:t>11 460</w:t>
      </w:r>
      <w:r w:rsidRPr="00B340AD">
        <w:rPr>
          <w:rFonts w:eastAsia="Times New Roman"/>
        </w:rPr>
        <w:t xml:space="preserve"> хил. лв. и регистрират </w:t>
      </w:r>
      <w:r w:rsidR="007705C2">
        <w:rPr>
          <w:rFonts w:eastAsia="Times New Roman"/>
        </w:rPr>
        <w:t>намаление</w:t>
      </w:r>
      <w:r w:rsidRPr="00B340AD">
        <w:rPr>
          <w:rFonts w:eastAsia="Times New Roman"/>
        </w:rPr>
        <w:t xml:space="preserve"> от </w:t>
      </w:r>
      <w:r w:rsidR="007705C2">
        <w:rPr>
          <w:rFonts w:eastAsia="Times New Roman"/>
        </w:rPr>
        <w:t>54,96</w:t>
      </w:r>
      <w:r w:rsidRPr="00B340AD">
        <w:rPr>
          <w:rFonts w:eastAsia="Times New Roman"/>
        </w:rPr>
        <w:t xml:space="preserve"> % в сравнение със същия период на 2020 г., когато са отчетени общо разходи за дейността в размер на </w:t>
      </w:r>
      <w:r w:rsidR="007705C2">
        <w:rPr>
          <w:rFonts w:eastAsia="Times New Roman"/>
        </w:rPr>
        <w:t>20 850</w:t>
      </w:r>
      <w:r w:rsidRPr="00B340AD">
        <w:rPr>
          <w:rFonts w:eastAsia="Times New Roman"/>
        </w:rPr>
        <w:t xml:space="preserve"> хил. лв. </w:t>
      </w:r>
    </w:p>
    <w:p w:rsidR="00AE4614" w:rsidRPr="00E36F98" w:rsidRDefault="00AE4614" w:rsidP="00B340AD">
      <w:pPr>
        <w:spacing w:line="360" w:lineRule="auto"/>
        <w:jc w:val="both"/>
        <w:rPr>
          <w:rFonts w:eastAsia="Times New Roman"/>
          <w:lang w:val="en-US"/>
        </w:rPr>
      </w:pPr>
      <w:r>
        <w:rPr>
          <w:rFonts w:eastAsia="Times New Roman"/>
        </w:rPr>
        <w:t xml:space="preserve">Приходите и разходите на </w:t>
      </w:r>
      <w:r w:rsidR="00831226">
        <w:rPr>
          <w:rFonts w:eastAsia="Times New Roman"/>
        </w:rPr>
        <w:t xml:space="preserve">Групата </w:t>
      </w:r>
      <w:r>
        <w:rPr>
          <w:rFonts w:eastAsia="Times New Roman"/>
        </w:rPr>
        <w:t xml:space="preserve">към настоящия момент, </w:t>
      </w:r>
      <w:r w:rsidR="00245B34">
        <w:rPr>
          <w:rFonts w:eastAsia="Times New Roman"/>
        </w:rPr>
        <w:t>подлежат на промяна, поради неокончателния характер на отчета.</w:t>
      </w:r>
    </w:p>
    <w:p w:rsidR="00AD687D" w:rsidRDefault="00AD687D" w:rsidP="00B340AD">
      <w:pPr>
        <w:spacing w:line="360" w:lineRule="auto"/>
        <w:jc w:val="both"/>
        <w:rPr>
          <w:rFonts w:eastAsia="Times New Roman"/>
        </w:rPr>
      </w:pPr>
      <w:r w:rsidRPr="00B340AD">
        <w:rPr>
          <w:rFonts w:eastAsia="Times New Roman"/>
        </w:rPr>
        <w:t xml:space="preserve">Към 31.12.2021 г. </w:t>
      </w:r>
      <w:r w:rsidR="00831226">
        <w:rPr>
          <w:rFonts w:eastAsia="Times New Roman"/>
        </w:rPr>
        <w:t>Групата</w:t>
      </w:r>
      <w:r w:rsidR="00FA229C" w:rsidRPr="00B340AD">
        <w:rPr>
          <w:rFonts w:eastAsia="Times New Roman"/>
        </w:rPr>
        <w:t xml:space="preserve"> </w:t>
      </w:r>
      <w:r w:rsidRPr="00B340AD">
        <w:rPr>
          <w:rFonts w:eastAsia="Times New Roman"/>
        </w:rPr>
        <w:t xml:space="preserve">регистрира </w:t>
      </w:r>
      <w:r w:rsidR="00FA229C">
        <w:rPr>
          <w:rFonts w:eastAsia="Times New Roman"/>
        </w:rPr>
        <w:t>отрицателен</w:t>
      </w:r>
      <w:r w:rsidRPr="00B340AD">
        <w:rPr>
          <w:rFonts w:eastAsia="Times New Roman"/>
        </w:rPr>
        <w:t xml:space="preserve"> нетен финансов резултат </w:t>
      </w:r>
      <w:r w:rsidR="00D33584">
        <w:rPr>
          <w:rFonts w:eastAsia="Times New Roman"/>
        </w:rPr>
        <w:t xml:space="preserve">преди облагане с данъци </w:t>
      </w:r>
      <w:r w:rsidRPr="00B340AD">
        <w:rPr>
          <w:rFonts w:eastAsia="Times New Roman"/>
        </w:rPr>
        <w:t xml:space="preserve">в размер на </w:t>
      </w:r>
      <w:r w:rsidR="007705C2">
        <w:rPr>
          <w:rFonts w:eastAsia="Times New Roman"/>
        </w:rPr>
        <w:t>3 554</w:t>
      </w:r>
      <w:r w:rsidRPr="00B340AD">
        <w:rPr>
          <w:rFonts w:eastAsia="Times New Roman"/>
        </w:rPr>
        <w:t xml:space="preserve"> хил. лв.</w:t>
      </w:r>
      <w:r w:rsidR="00D33584">
        <w:rPr>
          <w:rFonts w:eastAsia="Times New Roman"/>
        </w:rPr>
        <w:t>,</w:t>
      </w:r>
      <w:r w:rsidRPr="00B340AD">
        <w:rPr>
          <w:rFonts w:eastAsia="Times New Roman"/>
        </w:rPr>
        <w:t xml:space="preserve"> спрямо отчетения за същия период на 2020 г. </w:t>
      </w:r>
      <w:r w:rsidR="00D33584">
        <w:rPr>
          <w:rFonts w:eastAsia="Times New Roman"/>
        </w:rPr>
        <w:t xml:space="preserve">отрицателен </w:t>
      </w:r>
      <w:r w:rsidRPr="00B340AD">
        <w:rPr>
          <w:rFonts w:eastAsia="Times New Roman"/>
        </w:rPr>
        <w:t xml:space="preserve">нетен финансов резултат </w:t>
      </w:r>
      <w:r w:rsidR="00D33584">
        <w:rPr>
          <w:rFonts w:eastAsia="Times New Roman"/>
        </w:rPr>
        <w:t xml:space="preserve">преди облагане с данъци </w:t>
      </w:r>
      <w:r w:rsidRPr="00B340AD">
        <w:rPr>
          <w:rFonts w:eastAsia="Times New Roman"/>
        </w:rPr>
        <w:t xml:space="preserve">на стойност  </w:t>
      </w:r>
      <w:r w:rsidR="0054326B">
        <w:rPr>
          <w:rFonts w:eastAsia="Times New Roman"/>
        </w:rPr>
        <w:t>953</w:t>
      </w:r>
      <w:bookmarkStart w:id="4" w:name="_GoBack"/>
      <w:bookmarkEnd w:id="4"/>
      <w:r w:rsidR="00D33584">
        <w:rPr>
          <w:rFonts w:eastAsia="Times New Roman"/>
        </w:rPr>
        <w:t xml:space="preserve"> </w:t>
      </w:r>
      <w:r w:rsidRPr="00B340AD">
        <w:rPr>
          <w:rFonts w:eastAsia="Times New Roman"/>
        </w:rPr>
        <w:t xml:space="preserve">хил. лв. </w:t>
      </w:r>
    </w:p>
    <w:p w:rsidR="00A40A6C" w:rsidRPr="00E36F98" w:rsidRDefault="00A40A6C" w:rsidP="00A40A6C">
      <w:pPr>
        <w:spacing w:line="360" w:lineRule="auto"/>
        <w:jc w:val="both"/>
        <w:rPr>
          <w:rFonts w:eastAsia="Times New Roman"/>
          <w:lang w:val="en-US"/>
        </w:rPr>
      </w:pPr>
      <w:r>
        <w:rPr>
          <w:rFonts w:eastAsia="Times New Roman"/>
        </w:rPr>
        <w:t xml:space="preserve">Финансовият резултат на </w:t>
      </w:r>
      <w:r w:rsidR="00831226">
        <w:rPr>
          <w:rFonts w:eastAsia="Times New Roman"/>
        </w:rPr>
        <w:t>дружествата</w:t>
      </w:r>
      <w:r>
        <w:rPr>
          <w:rFonts w:eastAsia="Times New Roman"/>
        </w:rPr>
        <w:t xml:space="preserve"> към настоящия момент не е окончателен, поради неокончателния характер на отчета.</w:t>
      </w:r>
    </w:p>
    <w:p w:rsidR="00AD687D" w:rsidRDefault="00AD687D" w:rsidP="00B340AD">
      <w:pPr>
        <w:spacing w:line="360" w:lineRule="auto"/>
        <w:jc w:val="both"/>
        <w:rPr>
          <w:rFonts w:eastAsia="Times New Roman"/>
        </w:rPr>
      </w:pPr>
      <w:r w:rsidRPr="00B340AD">
        <w:rPr>
          <w:rFonts w:eastAsia="Times New Roman"/>
        </w:rPr>
        <w:lastRenderedPageBreak/>
        <w:t xml:space="preserve">Към 31.12.2021 г. общата сума на активите на </w:t>
      </w:r>
      <w:r w:rsidR="00831226">
        <w:rPr>
          <w:rFonts w:eastAsia="Times New Roman"/>
        </w:rPr>
        <w:t>групата</w:t>
      </w:r>
      <w:r w:rsidRPr="00B340AD">
        <w:rPr>
          <w:rFonts w:eastAsia="Times New Roman"/>
        </w:rPr>
        <w:t xml:space="preserve"> е </w:t>
      </w:r>
      <w:r w:rsidR="007705C2">
        <w:rPr>
          <w:rFonts w:eastAsia="Times New Roman"/>
        </w:rPr>
        <w:t>120 762</w:t>
      </w:r>
      <w:r w:rsidRPr="00B340AD">
        <w:rPr>
          <w:rFonts w:eastAsia="Times New Roman"/>
        </w:rPr>
        <w:t xml:space="preserve"> хил. лв., а стойността на собствения капитал е </w:t>
      </w:r>
      <w:r w:rsidR="00A40A6C">
        <w:rPr>
          <w:rFonts w:eastAsia="Times New Roman"/>
        </w:rPr>
        <w:t>(</w:t>
      </w:r>
      <w:r w:rsidR="007705C2">
        <w:rPr>
          <w:rFonts w:eastAsia="Times New Roman"/>
        </w:rPr>
        <w:t>-11 076</w:t>
      </w:r>
      <w:r w:rsidR="00A40A6C">
        <w:rPr>
          <w:rFonts w:eastAsia="Times New Roman"/>
        </w:rPr>
        <w:t>)</w:t>
      </w:r>
      <w:r w:rsidRPr="00B340AD">
        <w:rPr>
          <w:rFonts w:eastAsia="Times New Roman"/>
        </w:rPr>
        <w:t>хил. лв.</w:t>
      </w:r>
    </w:p>
    <w:p w:rsidR="00FA229C" w:rsidRDefault="00FA229C" w:rsidP="00B340AD">
      <w:pPr>
        <w:spacing w:line="360" w:lineRule="auto"/>
        <w:jc w:val="both"/>
        <w:rPr>
          <w:rFonts w:eastAsia="Times New Roman"/>
        </w:rPr>
      </w:pPr>
    </w:p>
    <w:bookmarkEnd w:id="3"/>
    <w:p w:rsidR="00AD687D" w:rsidRPr="00217016" w:rsidRDefault="00AD687D" w:rsidP="004E328B">
      <w:pPr>
        <w:keepNext/>
        <w:numPr>
          <w:ilvl w:val="0"/>
          <w:numId w:val="10"/>
        </w:numPr>
        <w:spacing w:line="360" w:lineRule="auto"/>
        <w:ind w:left="0" w:right="74" w:firstLine="360"/>
        <w:jc w:val="both"/>
        <w:rPr>
          <w:b/>
          <w:u w:val="single"/>
        </w:rPr>
      </w:pPr>
      <w:r w:rsidRPr="00217016">
        <w:rPr>
          <w:b/>
          <w:u w:val="single"/>
        </w:rPr>
        <w:t>ОПИСАНИЕ НА ОСНОВНИТЕ РИСКОВЕ И НЕСИГУРНОСТИ, ПРЕД КОИТО Е ИЗПРАВЕНО ДРУЖЕСТВОТО ПРЕЗ СЛЕДВАЩИЯ ФИНАНСОВ ПЕРИОД</w:t>
      </w:r>
    </w:p>
    <w:p w:rsidR="00AD687D" w:rsidRPr="00217016" w:rsidRDefault="00AD687D" w:rsidP="004E328B">
      <w:pPr>
        <w:keepNext/>
        <w:spacing w:line="360" w:lineRule="auto"/>
        <w:jc w:val="both"/>
        <w:rPr>
          <w:b/>
        </w:rPr>
      </w:pPr>
    </w:p>
    <w:p w:rsidR="00AD687D" w:rsidRPr="00217016" w:rsidRDefault="00AD687D" w:rsidP="004E328B">
      <w:pPr>
        <w:keepNext/>
        <w:spacing w:line="360" w:lineRule="auto"/>
        <w:ind w:firstLine="709"/>
        <w:jc w:val="both"/>
        <w:rPr>
          <w:b/>
        </w:rPr>
      </w:pPr>
      <w:r w:rsidRPr="00217016">
        <w:rPr>
          <w:b/>
        </w:rPr>
        <w:t>СИСТЕМАТИЧНИ РИСКОВЕ</w:t>
      </w:r>
    </w:p>
    <w:p w:rsidR="00AD687D" w:rsidRPr="00217016" w:rsidRDefault="00AD687D" w:rsidP="004E328B">
      <w:pPr>
        <w:spacing w:line="360" w:lineRule="auto"/>
        <w:ind w:firstLine="708"/>
        <w:jc w:val="both"/>
      </w:pPr>
      <w:r w:rsidRPr="00217016">
        <w:t xml:space="preserve">Систематичните рискове са свързани с пазара и </w:t>
      </w:r>
      <w:proofErr w:type="spellStart"/>
      <w:r w:rsidRPr="00217016">
        <w:t>макросредата</w:t>
      </w:r>
      <w:proofErr w:type="spellEnd"/>
      <w:r w:rsidRPr="00217016">
        <w:t>, в която Дружеството функционира, поради което те не могат да бъдат управлявани и контролирани от мениджмънта на компанията. Систематични рискове са: политическият риск, макроикономическият риск, инфлационният риск, валутният риск, лихвеният риск, данъчният риск.</w:t>
      </w:r>
    </w:p>
    <w:p w:rsidR="00AD687D" w:rsidRPr="00217016" w:rsidRDefault="00AD687D" w:rsidP="00AD687D">
      <w:pPr>
        <w:tabs>
          <w:tab w:val="left" w:pos="567"/>
          <w:tab w:val="left" w:pos="3969"/>
        </w:tabs>
        <w:ind w:right="114"/>
        <w:jc w:val="both"/>
        <w:rPr>
          <w:b/>
          <w:bCs/>
        </w:rPr>
      </w:pPr>
    </w:p>
    <w:p w:rsidR="00AD687D" w:rsidRPr="00217016" w:rsidRDefault="00AD687D" w:rsidP="00AD687D">
      <w:pPr>
        <w:tabs>
          <w:tab w:val="left" w:pos="567"/>
          <w:tab w:val="left" w:pos="3969"/>
        </w:tabs>
        <w:ind w:right="114"/>
        <w:jc w:val="both"/>
        <w:rPr>
          <w:b/>
          <w:bCs/>
          <w:color w:val="000000"/>
        </w:rPr>
      </w:pPr>
      <w:r w:rsidRPr="00217016">
        <w:rPr>
          <w:b/>
          <w:bCs/>
          <w:color w:val="000000"/>
        </w:rPr>
        <w:t>Таблица № 4</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8188"/>
      </w:tblGrid>
      <w:tr w:rsidR="00AD687D" w:rsidRPr="00217016" w:rsidTr="00782EB3">
        <w:trPr>
          <w:trHeight w:val="384"/>
          <w:jc w:val="center"/>
        </w:trPr>
        <w:tc>
          <w:tcPr>
            <w:tcW w:w="1770" w:type="dxa"/>
            <w:shd w:val="clear" w:color="auto" w:fill="auto"/>
            <w:vAlign w:val="center"/>
          </w:tcPr>
          <w:p w:rsidR="00AD687D" w:rsidRPr="00217016" w:rsidRDefault="00AD687D" w:rsidP="00782EB3">
            <w:pPr>
              <w:rPr>
                <w:b/>
              </w:rPr>
            </w:pPr>
            <w:r w:rsidRPr="00217016">
              <w:rPr>
                <w:b/>
              </w:rPr>
              <w:t>Вид риск</w:t>
            </w:r>
          </w:p>
        </w:tc>
        <w:tc>
          <w:tcPr>
            <w:tcW w:w="8188" w:type="dxa"/>
            <w:shd w:val="clear" w:color="auto" w:fill="auto"/>
            <w:vAlign w:val="center"/>
          </w:tcPr>
          <w:p w:rsidR="00AD687D" w:rsidRPr="00217016" w:rsidRDefault="00AD687D" w:rsidP="00782EB3">
            <w:pPr>
              <w:rPr>
                <w:b/>
              </w:rPr>
            </w:pPr>
            <w:r w:rsidRPr="00217016">
              <w:rPr>
                <w:b/>
              </w:rPr>
              <w:t xml:space="preserve">Описание </w:t>
            </w:r>
          </w:p>
        </w:tc>
      </w:tr>
      <w:tr w:rsidR="00AD687D" w:rsidRPr="00217016" w:rsidTr="00782EB3">
        <w:trPr>
          <w:jc w:val="center"/>
        </w:trPr>
        <w:tc>
          <w:tcPr>
            <w:tcW w:w="1770" w:type="dxa"/>
            <w:shd w:val="clear" w:color="auto" w:fill="auto"/>
          </w:tcPr>
          <w:p w:rsidR="00AD687D" w:rsidRPr="00217016" w:rsidRDefault="00AD687D" w:rsidP="00782EB3">
            <w:r w:rsidRPr="00217016">
              <w:t>ПОЛИТИЧЕСКИ РИСК</w:t>
            </w:r>
          </w:p>
        </w:tc>
        <w:tc>
          <w:tcPr>
            <w:tcW w:w="8188" w:type="dxa"/>
            <w:shd w:val="clear" w:color="auto" w:fill="auto"/>
          </w:tcPr>
          <w:p w:rsidR="00AD687D" w:rsidRPr="00217016" w:rsidRDefault="00AD687D" w:rsidP="00782EB3">
            <w:pPr>
              <w:jc w:val="both"/>
            </w:pPr>
            <w:r w:rsidRPr="00217016">
              <w:t xml:space="preserve">Политическият риск е вероятността от смяна на Правителството, или от внезапна промяна в неговата политика, от възникване на вътрешнополитически сътресения и неблагоприятни промени в европейското и/или националното законодателство, в резултат на което средата, в която оперират местните стопански субекти да се промени негативно, a инвеститорите да понесат загуби. </w:t>
            </w:r>
          </w:p>
          <w:p w:rsidR="00AD687D" w:rsidRPr="00217016" w:rsidRDefault="00AD687D" w:rsidP="00782EB3">
            <w:pPr>
              <w:jc w:val="both"/>
            </w:pPr>
            <w:r w:rsidRPr="00217016">
              <w:t xml:space="preserve">Политическите рискове за България в международен план са свързани с поетите ангажименти за осъществяване на сериозни структурни реформи в страната в качеството й на равноправен член на ЕС, повишаване на социалната стабилност ограничаване на неефективните разходи, от една страна, както и със силната </w:t>
            </w:r>
            <w:proofErr w:type="spellStart"/>
            <w:r w:rsidRPr="00217016">
              <w:t>дестабилизация</w:t>
            </w:r>
            <w:proofErr w:type="spellEnd"/>
            <w:r w:rsidRPr="00217016">
              <w:t xml:space="preserve"> на страните от Близкия изток, зачестяващите заплахи от терористични атентати в Европа, бежански вълни и нестабилност на ключови страни в непосредствена близост до България. </w:t>
            </w:r>
          </w:p>
          <w:p w:rsidR="00AD687D" w:rsidRPr="00217016" w:rsidRDefault="00AD687D" w:rsidP="00782EB3">
            <w:pPr>
              <w:jc w:val="both"/>
            </w:pPr>
            <w:r w:rsidRPr="00217016">
              <w:t>България, както и другите държави – членки на ЕС от региона, продължава да бъде сериозно засегната от общоевропейския проблем с интензивния бежански поток от Близкия изток.</w:t>
            </w:r>
          </w:p>
          <w:p w:rsidR="00AD687D" w:rsidRPr="00217016" w:rsidRDefault="00AD687D" w:rsidP="00782EB3">
            <w:pPr>
              <w:jc w:val="both"/>
            </w:pPr>
            <w:r w:rsidRPr="00217016">
              <w:t>Други фактори, които също влияят на този риск, са евентуалните законодателни промени и в частност тези, касаещи стопанския и инвестиционния климат в страната.</w:t>
            </w:r>
          </w:p>
          <w:p w:rsidR="00AD687D" w:rsidRPr="00217016" w:rsidRDefault="00AD687D" w:rsidP="00782EB3">
            <w:pPr>
              <w:jc w:val="both"/>
            </w:pPr>
          </w:p>
        </w:tc>
      </w:tr>
      <w:tr w:rsidR="00AD687D" w:rsidRPr="00217016" w:rsidTr="00782EB3">
        <w:trPr>
          <w:jc w:val="center"/>
        </w:trPr>
        <w:tc>
          <w:tcPr>
            <w:tcW w:w="1770" w:type="dxa"/>
            <w:shd w:val="clear" w:color="auto" w:fill="auto"/>
          </w:tcPr>
          <w:p w:rsidR="00AD687D" w:rsidRPr="00217016" w:rsidRDefault="00AD687D" w:rsidP="00782EB3">
            <w:r w:rsidRPr="00217016">
              <w:t>ОБЩ МАКРОИКОНОМИЧЕСКИ РИСК</w:t>
            </w:r>
          </w:p>
        </w:tc>
        <w:tc>
          <w:tcPr>
            <w:tcW w:w="8188" w:type="dxa"/>
            <w:shd w:val="clear" w:color="auto" w:fill="auto"/>
          </w:tcPr>
          <w:p w:rsidR="00AD687D" w:rsidRPr="00217016" w:rsidRDefault="00AD687D" w:rsidP="00782EB3">
            <w:pPr>
              <w:jc w:val="both"/>
            </w:pPr>
            <w:r w:rsidRPr="00217016">
              <w:t>По данни на Националния статистически институт през декември 2021 г. общият показател на бизнес климата нараства с 2.6 пункта спрямо предходния месец. Подобрение на показателя се наблюдава в строителството, търговията на дребно и сектора на услугите, а в промишлеността е регистрирано понижение.</w:t>
            </w:r>
          </w:p>
          <w:p w:rsidR="00AD687D" w:rsidRPr="00217016" w:rsidRDefault="00AD687D" w:rsidP="00782EB3">
            <w:pPr>
              <w:jc w:val="both"/>
              <w:rPr>
                <w:b/>
              </w:rPr>
            </w:pPr>
            <w:r w:rsidRPr="00217016">
              <w:rPr>
                <w:b/>
              </w:rPr>
              <w:t xml:space="preserve">                                                                             Бизнес климат – общо</w:t>
            </w:r>
          </w:p>
          <w:p w:rsidR="00AD687D" w:rsidRPr="00217016" w:rsidRDefault="00AD687D" w:rsidP="00782EB3">
            <w:pPr>
              <w:jc w:val="center"/>
              <w:rPr>
                <w:b/>
              </w:rPr>
            </w:pPr>
            <w:r w:rsidRPr="00217016">
              <w:rPr>
                <w:noProof/>
              </w:rPr>
              <w:lastRenderedPageBreak/>
              <w:drawing>
                <wp:inline distT="0" distB="0" distL="0" distR="0" wp14:anchorId="74A4DD5D" wp14:editId="73CD2C79">
                  <wp:extent cx="3427750" cy="200831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30252" cy="2009776"/>
                          </a:xfrm>
                          <a:prstGeom prst="rect">
                            <a:avLst/>
                          </a:prstGeom>
                        </pic:spPr>
                      </pic:pic>
                    </a:graphicData>
                  </a:graphic>
                </wp:inline>
              </w:drawing>
            </w:r>
          </w:p>
          <w:p w:rsidR="00AD687D" w:rsidRPr="00217016" w:rsidRDefault="00AD687D" w:rsidP="00782EB3">
            <w:pPr>
              <w:jc w:val="both"/>
            </w:pPr>
            <w:r w:rsidRPr="00217016">
              <w:rPr>
                <w:b/>
              </w:rPr>
              <w:tab/>
            </w:r>
            <w:r w:rsidRPr="00217016">
              <w:rPr>
                <w:b/>
              </w:rPr>
              <w:tab/>
            </w:r>
            <w:r w:rsidRPr="00217016">
              <w:rPr>
                <w:b/>
              </w:rPr>
              <w:tab/>
            </w:r>
            <w:r w:rsidRPr="00217016">
              <w:rPr>
                <w:b/>
              </w:rPr>
              <w:tab/>
            </w:r>
            <w:r w:rsidRPr="00217016">
              <w:rPr>
                <w:b/>
              </w:rPr>
              <w:tab/>
            </w:r>
            <w:r w:rsidRPr="00217016">
              <w:rPr>
                <w:b/>
              </w:rPr>
              <w:tab/>
              <w:t xml:space="preserve">                                       </w:t>
            </w:r>
            <w:r w:rsidRPr="00217016">
              <w:t>Източник: НСИ</w:t>
            </w:r>
          </w:p>
          <w:p w:rsidR="00AD687D" w:rsidRPr="00217016" w:rsidRDefault="00AD687D" w:rsidP="00782EB3">
            <w:pPr>
              <w:jc w:val="both"/>
            </w:pPr>
          </w:p>
          <w:p w:rsidR="00AD687D" w:rsidRPr="00217016" w:rsidRDefault="00AD687D" w:rsidP="00782EB3">
            <w:pPr>
              <w:jc w:val="both"/>
            </w:pPr>
            <w:r w:rsidRPr="00217016">
              <w:rPr>
                <w:i/>
              </w:rPr>
              <w:t>Съставният показател „бизнес климат в промишлеността“</w:t>
            </w:r>
            <w:r w:rsidRPr="00217016">
              <w:t xml:space="preserve"> през декември 2021 г. намалява с 0.7 пункта. Оценките на промишлените предприемачи за настоящото бизнес състояние на предприятията са влошени, като и очакванията им за следващите шест месеца са по-резервирани. Същевременно анкетата отчита и известно намаление на осигуреността на производството с поръчки. Несигурната икономическа среда и недостигът на работна сила продължават да са основните проблеми за развитието на бизнеса. В сравнение с ноември делът на мениджърите, които прогнозират продажните цени в промишлеността да се повишат през следващите три месеца, се увеличава.</w:t>
            </w:r>
          </w:p>
          <w:p w:rsidR="00AD687D" w:rsidRPr="00217016" w:rsidRDefault="00AD687D" w:rsidP="00782EB3">
            <w:pPr>
              <w:jc w:val="both"/>
            </w:pPr>
          </w:p>
          <w:p w:rsidR="00AD687D" w:rsidRPr="00217016" w:rsidRDefault="00AD687D" w:rsidP="00782EB3">
            <w:pPr>
              <w:jc w:val="both"/>
            </w:pPr>
            <w:r w:rsidRPr="00217016">
              <w:t xml:space="preserve">По данни на Националния статистически институт през декември 2021 г. </w:t>
            </w:r>
            <w:r w:rsidRPr="00217016">
              <w:rPr>
                <w:i/>
              </w:rPr>
              <w:t>съставният показател „бизнес климат в строителството</w:t>
            </w:r>
            <w:r w:rsidRPr="00217016">
              <w:t>“ се повишава с 3.3 пункта, което се дължи на по-благоприятните оценки и очаквания на строителните предприемачи за бизнес състоянието на предприятията. Според тях настоящата осигуреност на производството с поръчки се запазва, а прогнозите за строителната активност през следващите три месеца се изместват към по-умерените мнения. Най-сериозните затруднения за дейността на предприятията остават свързани с несигурната икономическа среда, цените на материалите и недостига на работна сила, посочени съответно от 63.6, 50.3 и 40.0% от предприятията.</w:t>
            </w:r>
          </w:p>
          <w:p w:rsidR="00AD687D" w:rsidRPr="00217016" w:rsidRDefault="00AD687D" w:rsidP="00782EB3">
            <w:pPr>
              <w:jc w:val="both"/>
            </w:pPr>
            <w:r w:rsidRPr="00217016">
              <w:t>Относно продажните цени в строителството 34.2% от мениджърите предвиждат те да се пови</w:t>
            </w:r>
            <w:r w:rsidR="00C679F4">
              <w:t>шат през следващите три месеца.</w:t>
            </w:r>
          </w:p>
          <w:p w:rsidR="00AD687D" w:rsidRPr="00217016" w:rsidRDefault="00AD687D" w:rsidP="00782EB3">
            <w:pPr>
              <w:jc w:val="both"/>
            </w:pPr>
          </w:p>
          <w:p w:rsidR="00AD687D" w:rsidRPr="00217016" w:rsidRDefault="00AD687D" w:rsidP="00782EB3">
            <w:pPr>
              <w:jc w:val="both"/>
            </w:pPr>
            <w:r w:rsidRPr="00217016">
              <w:t xml:space="preserve">През декември 2021 г. </w:t>
            </w:r>
            <w:r w:rsidRPr="00217016">
              <w:rPr>
                <w:i/>
              </w:rPr>
              <w:t>съставният показател „бизнес климат в сектора на услугите“</w:t>
            </w:r>
            <w:r w:rsidRPr="00217016">
              <w:t xml:space="preserve"> се повишава с 5.9 пункта, което се дължи на оптимистичните оценки и очаквания на мениджърите за бизнес състоянието на предприятията. Благоприятни са и мненията им относно търсенето на услуги през следващите три месеца. Несигурната икономическа среда и конкуренцията в бранша остават основните фактори, ограничаващи в най-голяма степен дейността на предприятията. Относно продажните цени в сектора на услугите очакванията на мениджърите са те да се увеличат през следващите три месеца.</w:t>
            </w:r>
          </w:p>
          <w:p w:rsidR="00AD687D" w:rsidRPr="00217016" w:rsidRDefault="00AD687D" w:rsidP="00782EB3">
            <w:pPr>
              <w:jc w:val="both"/>
            </w:pPr>
          </w:p>
          <w:p w:rsidR="00AD687D" w:rsidRPr="00217016" w:rsidRDefault="00AD687D" w:rsidP="00782EB3">
            <w:pPr>
              <w:autoSpaceDE w:val="0"/>
              <w:autoSpaceDN w:val="0"/>
              <w:adjustRightInd w:val="0"/>
              <w:jc w:val="both"/>
            </w:pPr>
            <w:r w:rsidRPr="00217016">
              <w:t xml:space="preserve">Икономическата оценка на Управителния съвет на Европейската Централна Банка към 15 декември 2021 г., отразена в Икономически бюлетин, бр. 8 /2021 г., е за запазване тенденция към възстановяване на световната икономика, въпреки че продължителните затруднения в доставките, поскъпването на борсовите стоки и появата на </w:t>
            </w:r>
            <w:proofErr w:type="spellStart"/>
            <w:r w:rsidRPr="00217016">
              <w:t>омикрон</w:t>
            </w:r>
            <w:proofErr w:type="spellEnd"/>
            <w:r w:rsidRPr="00217016">
              <w:t xml:space="preserve"> варианта на </w:t>
            </w:r>
            <w:proofErr w:type="spellStart"/>
            <w:r w:rsidRPr="00217016">
              <w:lastRenderedPageBreak/>
              <w:t>коронавируса</w:t>
            </w:r>
            <w:proofErr w:type="spellEnd"/>
            <w:r w:rsidRPr="00217016">
              <w:t xml:space="preserve"> (COVID- 19) продължават да влошават краткосрочните перспективи за растеж. Последните проучвания относно икономическата активност показват известно забавяне на инерцията на растежа в началото на четвъртото тримесечие. Растежът на световния БВП в реално изражение (без еврозоната) се очаква да се повиши до 6,0% през 2021 г., след което ще се забави до 4,5% през 2022 г., до 3,9% през 2023 г. и до 3,7% през 2024 г. Външното търсене в еврозоната се очаква да се увеличи с 8,9% през 2021 г., с 4,0% през 2022 г., с 4,3% през 2023 г. и с 3,9% през 2024 г. Бъдещото протичане на пандемията остава ключов риск, влияещ върху базисните прогнози за световната икономика.</w:t>
            </w:r>
          </w:p>
          <w:p w:rsidR="00AD687D" w:rsidRPr="00217016" w:rsidRDefault="00AD687D" w:rsidP="00782EB3">
            <w:pPr>
              <w:autoSpaceDE w:val="0"/>
              <w:autoSpaceDN w:val="0"/>
              <w:adjustRightInd w:val="0"/>
              <w:jc w:val="both"/>
            </w:pPr>
            <w:r w:rsidRPr="00217016">
              <w:t>Икономиката на еврозоната продължава да се възстановява. Растежът остава умерен, но активността се очаква отново значително да се засили през настоящата година. Фактор за продължаването на икономическото възстановяване се предвижда да бъде голямо вътрешно търсене. Пазарът на труда се подобрява. Натрупаните по време на пандемията спестявания също ще подкрепят потреблението.</w:t>
            </w:r>
          </w:p>
          <w:p w:rsidR="00AD687D" w:rsidRPr="00217016" w:rsidRDefault="00AD687D" w:rsidP="00782EB3">
            <w:pPr>
              <w:autoSpaceDE w:val="0"/>
              <w:autoSpaceDN w:val="0"/>
              <w:adjustRightInd w:val="0"/>
              <w:jc w:val="both"/>
            </w:pPr>
            <w:r w:rsidRPr="00217016">
              <w:t xml:space="preserve">Икономическата активност бе умерена през четвъртото тримесечие на миналата година и този по-бавен растеж изглежда продължава и в началото на настоящата година. Понастоящем очакванията са през първото тримесечие на 2022 г. производството да надхвърли </w:t>
            </w:r>
            <w:proofErr w:type="spellStart"/>
            <w:r w:rsidRPr="00217016">
              <w:t>предкризисното</w:t>
            </w:r>
            <w:proofErr w:type="spellEnd"/>
            <w:r w:rsidRPr="00217016">
              <w:t xml:space="preserve"> си равнище. За да се справят със сегашната вълна на пандемията, някои държави от еврозоната въведоха отново строги противоепидемични мерки. Това може да отложи възстановяването, особено в секторите на пътуванията, туризма, хотелиерството и развлеченията. Пандемията подронва доверието на потребителите и бизнеса, а разпространението на нови варианти на вируса поражда допълнителна несигурност. Освен това увеличаващите се енергийни разходи препятстват потреблението. Недостигът на оборудване, материали и работна ръка в отделни сектори затруднява производството на промишлени стоки, предизвиквайки закъснения в строителството и забавяйки възстановяването в някои от подсекторите на услугите. Тези затруднения ще продължат още известно време, но през 2022 г. ще намалеят.</w:t>
            </w:r>
          </w:p>
          <w:p w:rsidR="00AD687D" w:rsidRPr="00217016" w:rsidRDefault="00AD687D" w:rsidP="00782EB3">
            <w:pPr>
              <w:autoSpaceDE w:val="0"/>
              <w:autoSpaceDN w:val="0"/>
              <w:adjustRightInd w:val="0"/>
              <w:jc w:val="both"/>
            </w:pPr>
            <w:r w:rsidRPr="00217016">
              <w:t xml:space="preserve">Въпреки че кризата с COVID-19 продължи през 2021 г. да се отразява неблагоприятно върху публичните финанси, макроикономическите прогнози на експертите от </w:t>
            </w:r>
            <w:proofErr w:type="spellStart"/>
            <w:r w:rsidRPr="00217016">
              <w:t>Евросистемата</w:t>
            </w:r>
            <w:proofErr w:type="spellEnd"/>
            <w:r w:rsidRPr="00217016">
              <w:t xml:space="preserve"> от декември 2021 г. показват, че бюджетното салдо вече се подобрява. Достигайки връх от 7,7% от БВП през 2020 г., съотношението на дефицита се очаква да се понижи до 5,9% през 2021 г. и да продължи да спада до 3,2% през 2022 г., като в края на прогнозния хоризонт през 2024 г. се стабилизира точно под 2%. По отношение на фискалната позиция на еврозоната една силна експанзия през 2020 г. беше последвана от съвсем незначителното й затягане през 2021 г., след като бе коригирана с безвъзмездните средства по временния фонд за възстановяване „Следващо поколение ЕС“ (NGEU). През 2022 г. фискалната позиция се предвижда да бъде чувствително затегната, което се дължи главно на отпадането на значителна част от извънредната помощ във връзка с кризата. До края на 2022 г. се очаква икономическата активност осезаемо да се възстанови. </w:t>
            </w:r>
          </w:p>
          <w:p w:rsidR="00AD687D" w:rsidRPr="00217016" w:rsidRDefault="00AD687D" w:rsidP="00782EB3">
            <w:pPr>
              <w:autoSpaceDE w:val="0"/>
              <w:autoSpaceDN w:val="0"/>
              <w:adjustRightInd w:val="0"/>
              <w:jc w:val="both"/>
            </w:pPr>
            <w:r w:rsidRPr="00217016">
              <w:t xml:space="preserve">Макроикономическите прогнози на експертите от </w:t>
            </w:r>
            <w:proofErr w:type="spellStart"/>
            <w:r w:rsidRPr="00217016">
              <w:t>Евросистемата</w:t>
            </w:r>
            <w:proofErr w:type="spellEnd"/>
            <w:r w:rsidRPr="00217016">
              <w:t xml:space="preserve"> от декември 2021 г. предвиждат БВП в реално изражение да нараства годишно с 5,1% през 2021 г., с 4,2% през 2022 г., с 2,9% през 2023 г. и с 1,6% през 2024 г. В сравнение със септемврийските прогнози очакванията са ревизирани надолу за 2022 г. и нагоре за 2023 г.</w:t>
            </w:r>
          </w:p>
          <w:p w:rsidR="00AD687D" w:rsidRPr="00217016" w:rsidRDefault="00AD687D" w:rsidP="00782EB3">
            <w:pPr>
              <w:jc w:val="both"/>
            </w:pPr>
          </w:p>
        </w:tc>
      </w:tr>
      <w:tr w:rsidR="00AD687D" w:rsidRPr="00217016" w:rsidTr="00782EB3">
        <w:trPr>
          <w:jc w:val="center"/>
        </w:trPr>
        <w:tc>
          <w:tcPr>
            <w:tcW w:w="1770" w:type="dxa"/>
            <w:shd w:val="clear" w:color="auto" w:fill="auto"/>
          </w:tcPr>
          <w:p w:rsidR="00AD687D" w:rsidRPr="00217016" w:rsidRDefault="00AD687D" w:rsidP="00782EB3">
            <w:r w:rsidRPr="00217016">
              <w:lastRenderedPageBreak/>
              <w:t xml:space="preserve">ЛИХВЕН </w:t>
            </w:r>
            <w:r w:rsidRPr="00217016">
              <w:lastRenderedPageBreak/>
              <w:t>РИСК</w:t>
            </w:r>
          </w:p>
        </w:tc>
        <w:tc>
          <w:tcPr>
            <w:tcW w:w="8188" w:type="dxa"/>
            <w:shd w:val="clear" w:color="auto" w:fill="auto"/>
          </w:tcPr>
          <w:p w:rsidR="00AD687D" w:rsidRPr="00217016" w:rsidRDefault="00AD687D" w:rsidP="00782EB3">
            <w:pPr>
              <w:jc w:val="both"/>
            </w:pPr>
            <w:r w:rsidRPr="00217016">
              <w:lastRenderedPageBreak/>
              <w:t xml:space="preserve">Лихвеният риск е свързан с възможни, евентуални, негативни промени в </w:t>
            </w:r>
            <w:r w:rsidRPr="00217016">
              <w:lastRenderedPageBreak/>
              <w:t>лихвените нива, установени от финансовите институции на Република България.</w:t>
            </w:r>
          </w:p>
          <w:p w:rsidR="00AD687D" w:rsidRPr="00217016" w:rsidRDefault="00AD687D" w:rsidP="00782EB3">
            <w:pPr>
              <w:jc w:val="both"/>
            </w:pPr>
            <w:r w:rsidRPr="00217016">
              <w:t xml:space="preserve">Съгласно данни от Икономически </w:t>
            </w:r>
            <w:proofErr w:type="spellStart"/>
            <w:r w:rsidRPr="00217016">
              <w:t>бюленин</w:t>
            </w:r>
            <w:proofErr w:type="spellEnd"/>
            <w:r w:rsidRPr="00217016">
              <w:t xml:space="preserve"> на ЕЦБ, бр. 8 /2021 г. през ноември инфлацията продължи да се засилва до 4,9%. Очакванията им са през по-голямата част от 2022 г. тя ще остане над 2%, като в близко бъдеще да остане висока, но с течение на настоящата година да намалее. Скокът на инфлацията отразява главно рязкото покачване на цените на горивата, газа и електроенергията. През ноември на инфлацията при енергията се дължи над половината от общата инфлация. Също така в отделни сектори търсенето продължава да изпреварва предлагането. Но през 2022 г. енергийните цени се очаква да се стабилизират, потребителските навици да се нормализират, а ценовият натиск, произтичащ от затрудненията в доставките в световен мащаб, да отслабне. С времето постепенното връщане на икономиката към функциониране при пълен капацитет и към по-нататъшно подобряване на пазарите на труда ще подпомагат бързото нарастване на заплатите. След заседанието по паричната политика през октомври пазарните индикатори и показателите от проучванията на дългосрочните инфлационни очаквания останаха общо взето стабилни. Но като цяло през последните месеци те се придвижиха по-близо до 2%. Тези фактори ще помогнат на базисната инфлация да се повиши и да засили общата инфлация до целта на Управителния съвет от 2% в средносрочен хоризонт. Макроикономическите прогнози на експертите от </w:t>
            </w:r>
            <w:proofErr w:type="spellStart"/>
            <w:r w:rsidRPr="00217016">
              <w:t>Евросистемата</w:t>
            </w:r>
            <w:proofErr w:type="spellEnd"/>
            <w:r w:rsidRPr="00217016">
              <w:t xml:space="preserve"> от декември 2021 г. предвиждат годишна инфлация от 2,6% през 2021 г., 3,2% през 2022 г., 1,8% през 2023 г. и 1,8% през 2024 г. – значително по-висока, отколкото е в предишните прогнози от септември. Инфлацията (без енергията и храните) се очаква да бъде средно 1,4% през 2021 г., 1,9% през 2022 г., 1,7% през 2023 г. и 1,8% през 2024 г. и също е по-висока от тази в септемврийските прогнози. </w:t>
            </w:r>
          </w:p>
          <w:p w:rsidR="00AD687D" w:rsidRPr="00217016" w:rsidRDefault="00AD687D" w:rsidP="00782EB3">
            <w:pPr>
              <w:jc w:val="center"/>
              <w:rPr>
                <w:lang w:val="en-US"/>
              </w:rPr>
            </w:pPr>
            <w:r w:rsidRPr="00217016">
              <w:rPr>
                <w:noProof/>
              </w:rPr>
              <w:drawing>
                <wp:inline distT="0" distB="0" distL="0" distR="0" wp14:anchorId="2130092E" wp14:editId="4ADD00DA">
                  <wp:extent cx="2833635" cy="1594609"/>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7552" cy="1596813"/>
                          </a:xfrm>
                          <a:prstGeom prst="rect">
                            <a:avLst/>
                          </a:prstGeom>
                          <a:noFill/>
                          <a:ln>
                            <a:noFill/>
                          </a:ln>
                        </pic:spPr>
                      </pic:pic>
                    </a:graphicData>
                  </a:graphic>
                </wp:inline>
              </w:drawing>
            </w:r>
          </w:p>
          <w:p w:rsidR="00AD687D" w:rsidRPr="00217016" w:rsidRDefault="00AD687D" w:rsidP="00782EB3">
            <w:pPr>
              <w:ind w:left="6211" w:hanging="6211"/>
            </w:pPr>
            <w:r w:rsidRPr="00217016">
              <w:t xml:space="preserve">                                                                                                                                    *Източник:БНБ</w:t>
            </w:r>
          </w:p>
        </w:tc>
      </w:tr>
      <w:tr w:rsidR="00AD687D" w:rsidRPr="00217016" w:rsidTr="00782EB3">
        <w:trPr>
          <w:jc w:val="center"/>
        </w:trPr>
        <w:tc>
          <w:tcPr>
            <w:tcW w:w="1770" w:type="dxa"/>
            <w:shd w:val="clear" w:color="auto" w:fill="auto"/>
          </w:tcPr>
          <w:p w:rsidR="00AD687D" w:rsidRPr="00217016" w:rsidRDefault="00AD687D" w:rsidP="00782EB3"/>
          <w:p w:rsidR="00AD687D" w:rsidRPr="00217016" w:rsidRDefault="00AD687D" w:rsidP="00782EB3">
            <w:r w:rsidRPr="00217016">
              <w:t>ИНФЛАЦИОНЕН РИСК</w:t>
            </w:r>
          </w:p>
        </w:tc>
        <w:tc>
          <w:tcPr>
            <w:tcW w:w="8188" w:type="dxa"/>
            <w:shd w:val="clear" w:color="auto" w:fill="auto"/>
          </w:tcPr>
          <w:p w:rsidR="00AD687D" w:rsidRPr="00217016" w:rsidRDefault="00AD687D" w:rsidP="00782EB3">
            <w:pPr>
              <w:jc w:val="both"/>
            </w:pPr>
          </w:p>
          <w:p w:rsidR="00AD687D" w:rsidRPr="00217016" w:rsidRDefault="00AD687D" w:rsidP="00782EB3">
            <w:pPr>
              <w:jc w:val="both"/>
            </w:pPr>
            <w:r w:rsidRPr="00217016">
              <w:t>Инфлационният риск представлява всеобщо повишаване на цените, при което парите се обезценяват и съществува вероятност от понасяне на загуба от домакинствата и фирмите.</w:t>
            </w:r>
          </w:p>
          <w:p w:rsidR="00AD687D" w:rsidRPr="00217016" w:rsidRDefault="00AD687D" w:rsidP="00782EB3">
            <w:pPr>
              <w:jc w:val="both"/>
            </w:pPr>
          </w:p>
          <w:p w:rsidR="00AD687D" w:rsidRPr="00217016" w:rsidRDefault="00AD687D" w:rsidP="00782EB3">
            <w:pPr>
              <w:jc w:val="both"/>
            </w:pPr>
            <w:r w:rsidRPr="00217016">
              <w:t>По данни на НСИ индексът на потребителските цени за януари 2021 г. спрямо декември 2020 г. е 100.2%, т.е. месечната инфлация е 0.2%. Годишната инфлация за януари 2021 г. спрямо януари 2020 г. е минус 0.6%. Средногодишната инфлация за периода февруари 2020 - януари 2021 г. спрямо периода февруари 2019 - януари 2020 г. е 1.3%.</w:t>
            </w:r>
          </w:p>
          <w:p w:rsidR="00AD687D" w:rsidRPr="00217016" w:rsidRDefault="00AD687D" w:rsidP="00782EB3">
            <w:pPr>
              <w:jc w:val="both"/>
            </w:pPr>
            <w:r w:rsidRPr="00217016">
              <w:t>По данни на НСИ хармонизираният индекс на потребителските цени за януари 2021 г. спрямо декември 2020 г. е 100.1%, т.е. месечната инфлация е 0.1%. Годишната инфлация за януари 2021 г. спрямо януари 2020 г. е минус 0.4%. Средногодишната инфлация за периода февруари 2020 - януари 2021 г. спрямо периода февруари 2019 - януари 2020 г. е 0.9%.</w:t>
            </w:r>
          </w:p>
          <w:p w:rsidR="00AD687D" w:rsidRPr="00217016" w:rsidRDefault="00AD687D" w:rsidP="00782EB3">
            <w:pPr>
              <w:jc w:val="both"/>
            </w:pPr>
          </w:p>
          <w:p w:rsidR="00AD687D" w:rsidRPr="00217016" w:rsidRDefault="00AD687D" w:rsidP="00782EB3">
            <w:pPr>
              <w:jc w:val="both"/>
            </w:pPr>
            <w:r w:rsidRPr="00217016">
              <w:t>Индексът на потребителските цени за февруари 2021 г. спрямо януари 2021 г. е 100.6%, т.е. месечната инфлация е 0.6%. Инфлацията от началото на годината е 0.8%, а годишната инфлация за февруари 2021 г. спрямо февруари 2020 г. е минус 0.1% .Средногодишната инфлация за периода март 2020 - февруари 2021 г. спрямо периода март 2019 - февруари 2020 г. е 1.0%.</w:t>
            </w:r>
          </w:p>
          <w:p w:rsidR="00AD687D" w:rsidRPr="00217016" w:rsidRDefault="00AD687D" w:rsidP="00782EB3">
            <w:pPr>
              <w:jc w:val="both"/>
            </w:pPr>
            <w:r w:rsidRPr="00217016">
              <w:t xml:space="preserve">Хармонизираният индекс на потребителските цени за </w:t>
            </w:r>
            <w:proofErr w:type="spellStart"/>
            <w:r w:rsidRPr="00217016">
              <w:t>за</w:t>
            </w:r>
            <w:proofErr w:type="spellEnd"/>
            <w:r w:rsidRPr="00217016">
              <w:t xml:space="preserve"> февруари 2021 г. спрямо януари 2021 г. е 100.5%, т.е. месечната инфлация е 0.5%. Инфлацията от началото на годината (февруари 2021 г. спрямо декември 2020 г.) е 0.7%, а годишната инфлация за февруари 2021 г. спрямо февруари 2020 г. е 0.2%. Средногодишната инфлация за периода март 2020 - февруари 2021 г. спрямо периода март 2019 - февруари 2020 г. е 0.7%.</w:t>
            </w:r>
          </w:p>
          <w:p w:rsidR="00AD687D" w:rsidRPr="00217016" w:rsidRDefault="00AD687D" w:rsidP="00782EB3">
            <w:pPr>
              <w:jc w:val="both"/>
              <w:rPr>
                <w:bCs/>
              </w:rPr>
            </w:pPr>
          </w:p>
          <w:p w:rsidR="00AD687D" w:rsidRPr="00217016" w:rsidRDefault="00AD687D" w:rsidP="00782EB3">
            <w:pPr>
              <w:jc w:val="both"/>
              <w:rPr>
                <w:bCs/>
              </w:rPr>
            </w:pPr>
            <w:r w:rsidRPr="00217016">
              <w:rPr>
                <w:bCs/>
              </w:rPr>
              <w:t>Индексът на потребителските цени</w:t>
            </w:r>
            <w:r w:rsidRPr="00217016">
              <w:rPr>
                <w:b/>
                <w:bCs/>
              </w:rPr>
              <w:t xml:space="preserve"> </w:t>
            </w:r>
            <w:r w:rsidRPr="00217016">
              <w:rPr>
                <w:bCs/>
              </w:rPr>
              <w:t>за март 2021 г. спрямо февруари 2021 г. е 100.1%, т.е. месечната инфлация е 0.1%. Инфлацията от началото на годината (март 2021 г. спрямо декември 2020 г.) е 0.9%, а годишната инфлация за март 2021 г. спрямо март 2020 г. е 0.6% .</w:t>
            </w:r>
          </w:p>
          <w:p w:rsidR="00AD687D" w:rsidRPr="00217016" w:rsidRDefault="00AD687D" w:rsidP="00782EB3">
            <w:pPr>
              <w:jc w:val="both"/>
            </w:pPr>
            <w:r w:rsidRPr="00217016">
              <w:rPr>
                <w:bCs/>
              </w:rPr>
              <w:t>Средногодишната инфлация за периода април 2020 - март 2021 г. спрямо периода април 2019 - март 2020 г. е 0.8%.</w:t>
            </w:r>
            <w:r w:rsidRPr="00217016">
              <w:t xml:space="preserve">. </w:t>
            </w:r>
          </w:p>
          <w:p w:rsidR="00AD687D" w:rsidRPr="00217016" w:rsidRDefault="00AD687D" w:rsidP="00782EB3">
            <w:pPr>
              <w:jc w:val="both"/>
            </w:pPr>
            <w:r w:rsidRPr="00217016">
              <w:t>Хармонизираният индекс на потребителските цени за март 2021 г. спрямо февруари 2021 г. е 100.2%, т.е. месечната инфлация е 0.2%. Инфлацията от началото на годината (март 2021 г. спрямо декември 2020 г.) е 0.8%, а годишната инфлация за март 2021 г. спрямо март 2020 г. е 0.8% . Средногодишната инфлация за периода април 2020 - март 2021 г. спрямо периода април 2019 - март 2020 г. е 0.5%.</w:t>
            </w:r>
          </w:p>
          <w:p w:rsidR="00AD687D" w:rsidRPr="00217016" w:rsidRDefault="00AD687D" w:rsidP="00782EB3">
            <w:pPr>
              <w:jc w:val="both"/>
            </w:pPr>
          </w:p>
          <w:p w:rsidR="00AD687D" w:rsidRPr="00217016" w:rsidRDefault="00AD687D" w:rsidP="00782EB3">
            <w:pPr>
              <w:jc w:val="both"/>
            </w:pPr>
            <w:r w:rsidRPr="00217016">
              <w:t>Индексът на потребителските цени за април 2021 г. спрямо март 2021 г. е 100.7%, т.е. месечната инфлация е 0.7%. Инфлацията от началото на годината (април 2021 г. спрямо декември 2020 г.) е 1.6%, а годишната инфлация за април 2021 г. спрямо април 2020 г. е 2.0%. Средногодишната инфлация за периода май 2020 - април 2021 г. спрямо периода май 2019 - април 2020 г. е 0.8%.</w:t>
            </w:r>
          </w:p>
          <w:p w:rsidR="00AD687D" w:rsidRPr="00217016" w:rsidRDefault="00AD687D" w:rsidP="00782EB3">
            <w:pPr>
              <w:jc w:val="both"/>
            </w:pPr>
            <w:r w:rsidRPr="00217016">
              <w:t>Хармонизираният индекс на потребителските цени за април 2021 г. спрямо март 2021 г. е 100.7%, т.е. месечната инфлация е 0.7%. Инфлацията от началото на годината (април 2021 г. спрямо декември 2020 г.) е 1.6%, а годишната инфлация за април 2021 г. спрямо април 2020 г. е 2.0%. Средногодишната инфлация за периода май 2020 - април 2021 г. спрямо периода май 2019 - април 2020 г. е 0.6%.</w:t>
            </w:r>
          </w:p>
          <w:p w:rsidR="00AD687D" w:rsidRPr="00217016" w:rsidRDefault="00AD687D" w:rsidP="00782EB3">
            <w:pPr>
              <w:jc w:val="both"/>
            </w:pPr>
          </w:p>
          <w:p w:rsidR="00AD687D" w:rsidRPr="00217016" w:rsidRDefault="00AD687D" w:rsidP="00782EB3">
            <w:pPr>
              <w:jc w:val="both"/>
            </w:pPr>
            <w:r w:rsidRPr="00217016">
              <w:rPr>
                <w:bCs/>
              </w:rPr>
              <w:t>Индексът на потребителските цени</w:t>
            </w:r>
            <w:r w:rsidRPr="00217016">
              <w:rPr>
                <w:b/>
                <w:bCs/>
              </w:rPr>
              <w:t xml:space="preserve"> </w:t>
            </w:r>
            <w:r w:rsidRPr="00217016">
              <w:t>за май 2021 г. спрямо април 2021 г. е 100.1%, т.е. месечната инфлация е 0.1%. Инфлацията от началото на годината (май 2021 г. спрямо декември 2020 г.) е 1.7%, а годишната инфлация за май 2021 г. спрямо май 2020 г. е 2.5%. Средногодишната инфлация за периода юни 2020 - май 2021 г. спрямо периода юни 2019 - май 2020 г. е 0.9%.</w:t>
            </w:r>
          </w:p>
          <w:p w:rsidR="00AD687D" w:rsidRPr="00217016" w:rsidRDefault="00AD687D" w:rsidP="00782EB3">
            <w:pPr>
              <w:jc w:val="both"/>
            </w:pPr>
            <w:r w:rsidRPr="00217016">
              <w:rPr>
                <w:bCs/>
              </w:rPr>
              <w:t>Хармонизираният индекс на потребителските цени</w:t>
            </w:r>
            <w:r w:rsidRPr="00217016">
              <w:rPr>
                <w:b/>
                <w:bCs/>
              </w:rPr>
              <w:t xml:space="preserve"> </w:t>
            </w:r>
            <w:r w:rsidRPr="00217016">
              <w:t>за май 2021 г. спрямо април 2021 г. е 100.1%, т.е. месечната инфлация е 0.1%. Инфлацията от началото на годината (май 2021 г. спрямо декември 2020 г.) е 1.7%, а годишната инфлация за май 2021 г. спрямо май 2020 г. е 2.3%. Средногодишната инфлация за периода юни 2020 - май 2021 г. спрямо периода юни 2019 - май 2020 г. е 0.7%.</w:t>
            </w:r>
          </w:p>
          <w:p w:rsidR="00AD687D" w:rsidRPr="00217016" w:rsidRDefault="00AD687D" w:rsidP="00782EB3">
            <w:pPr>
              <w:jc w:val="both"/>
            </w:pPr>
          </w:p>
          <w:p w:rsidR="00AD687D" w:rsidRPr="00217016" w:rsidRDefault="00AD687D" w:rsidP="00782EB3">
            <w:pPr>
              <w:jc w:val="both"/>
            </w:pPr>
            <w:r w:rsidRPr="00217016">
              <w:t xml:space="preserve">Индексът на потребителските цени за юни 2021 г. спрямо май 2021 г. е </w:t>
            </w:r>
            <w:r w:rsidRPr="00217016">
              <w:lastRenderedPageBreak/>
              <w:t>99.8%, т.е. месечната инфлация е минус 0.2%. Инфлацията от началото на годината (юни 2021 г. спрямо декември 2020 г.) е 1.5%, а годишната инфлация за юни 2021 г. спрямо юни 2020 г. е 2.7%. Средногодишната инфлация за периода юли 2020 - юни 2021 г. спрямо периода юли 2019 - юни 2020 г. е 1.0%.</w:t>
            </w:r>
          </w:p>
          <w:p w:rsidR="00AD687D" w:rsidRPr="00217016" w:rsidRDefault="00AD687D" w:rsidP="00782EB3">
            <w:pPr>
              <w:jc w:val="both"/>
            </w:pPr>
            <w:r w:rsidRPr="00217016">
              <w:t>Хармонизираният индекс на потребителските цени за юни 2021 г. спрямо май 2021 г. е 100.0%, т.е. месечната инфлация е 0.0%. Инфлацията от началото на годината (юни 2021 г. спрямо декември 2020 г.) е 1.7%, а годишната инфлация за юни 2021 г. спрямо юни 2020 г. е 2.4%. Средногодишната инфлация за периода юли 2020 - юни 2021 г. спрямо периода юли 2019 - юни 2020 г. е 0.8%.</w:t>
            </w:r>
          </w:p>
          <w:p w:rsidR="00AD687D" w:rsidRPr="00217016" w:rsidRDefault="00AD687D" w:rsidP="00782EB3">
            <w:pPr>
              <w:jc w:val="both"/>
            </w:pPr>
          </w:p>
          <w:p w:rsidR="00AD687D" w:rsidRPr="00217016" w:rsidRDefault="00AD687D" w:rsidP="00782EB3">
            <w:pPr>
              <w:jc w:val="both"/>
            </w:pPr>
            <w:r w:rsidRPr="00217016">
              <w:rPr>
                <w:bCs/>
              </w:rPr>
              <w:t>Индексът на потребителските цени</w:t>
            </w:r>
            <w:r w:rsidRPr="00217016">
              <w:rPr>
                <w:b/>
                <w:bCs/>
              </w:rPr>
              <w:t xml:space="preserve"> </w:t>
            </w:r>
            <w:r w:rsidRPr="00217016">
              <w:t>за юли 2021 г. спрямо юни 2021 г. е 100.8%, т.е. месечната инфлация е 0.8%. Инфлацията от началото на годината (юли 2021 г. спрямо декември 2020 г.) е 2.3%, а годишната инфлация за юли 2021 г. спрямо юли 2020 г. е 3.0% . Средногодишната инфлация за периода август 2020 - юли 2021 г. спрямо периода август 2019 - юли 2020 г. е 1.1%.</w:t>
            </w:r>
          </w:p>
          <w:p w:rsidR="00AD687D" w:rsidRPr="00217016" w:rsidRDefault="00AD687D" w:rsidP="00782EB3">
            <w:pPr>
              <w:jc w:val="both"/>
            </w:pPr>
            <w:r w:rsidRPr="00217016">
              <w:t>Хармонизираният индекс на потребителските цени за юли 2021 г. спрямо юни 2021 г. е 100.7%, т.е. месечната инфлация е 0.7%. Инфлацията от началото на годината (юли 2021 г. спрямо декември 2020 г.) е 2.4%, а годишната инфлация за юли 2021 г. спрямо юли 2020 г. е 2.2%. Средногодишната инфлация за периода август 2020 - юли 2021 г. спрямо периода август 2019 - юли 2020 г. е 1.0%.</w:t>
            </w:r>
          </w:p>
          <w:p w:rsidR="00AD687D" w:rsidRPr="00217016" w:rsidRDefault="00AD687D" w:rsidP="00782EB3">
            <w:pPr>
              <w:jc w:val="both"/>
            </w:pPr>
          </w:p>
          <w:p w:rsidR="00AD687D" w:rsidRPr="00217016" w:rsidRDefault="00AD687D" w:rsidP="00782EB3">
            <w:pPr>
              <w:jc w:val="both"/>
            </w:pPr>
            <w:r w:rsidRPr="00217016">
              <w:t>Индексът на потребителските цени за август 2021 г. спрямо юли 2021 г. е 100.8%, т.е. месечната инфлация е 0.8%. Инфлацията от началото на годината (август 2021 г. спрямо декември 2020 г.) е 3.1%, а годишната инфлация за август 2021 г. спрямо август 2020 г. е 3.7%. Средногодишната инфлация за периода септември 2020 - август 2021 г. спрямо периода септември 2019 - август 2020 г. е 1.3%.</w:t>
            </w:r>
          </w:p>
          <w:p w:rsidR="00AD687D" w:rsidRPr="00217016" w:rsidRDefault="00AD687D" w:rsidP="00782EB3">
            <w:pPr>
              <w:jc w:val="both"/>
            </w:pPr>
            <w:r w:rsidRPr="00217016">
              <w:t>Хармонизираният индекс на потребителските цени за август 2021 г. спрямо юли 2021 г. е 100.7%, т.е. месечната инфлация е 0.7%. Инфлацията от началото на годината (август 2021 г. спрямо декември 2020 г.) е 3.1%, а годишната инфлация за август 2021 г. спрямо август 2020 г. е 2.5%. Средногодишната инфлация за периода септември 2020 - август 2021 г. спрямо периода септември 2019 - август 2020 г. е 1.1%.</w:t>
            </w:r>
          </w:p>
          <w:p w:rsidR="00AD687D" w:rsidRPr="00217016" w:rsidRDefault="00AD687D" w:rsidP="00782EB3">
            <w:pPr>
              <w:jc w:val="both"/>
            </w:pPr>
          </w:p>
          <w:p w:rsidR="00AD687D" w:rsidRPr="00217016" w:rsidRDefault="00AD687D" w:rsidP="00782EB3">
            <w:pPr>
              <w:jc w:val="both"/>
            </w:pPr>
            <w:r w:rsidRPr="00217016">
              <w:t>Индексът на потребителските цени за септември 2021 г. спрямо август 2021 г. е 100.4%, т.е. месечната инфлация е 0.4%. Инфлацията от началото на годината (септември 2021 г. спрямо декември 2020 г.) е 3.5%, а годишната инфлация за септември 2021 г. спрямо септември 2020 г. е 4.8%. Средногодишната инфлация за периода октомври 2020 - септември 2021 г. спрямо периода октомври 2019 - септември 2020 г. е 1.6%.</w:t>
            </w:r>
          </w:p>
          <w:p w:rsidR="00AD687D" w:rsidRPr="00217016" w:rsidRDefault="00AD687D" w:rsidP="00782EB3">
            <w:pPr>
              <w:jc w:val="both"/>
            </w:pPr>
            <w:r w:rsidRPr="00217016">
              <w:t>Хармонизираният индекс на потребителските цени за септември 2021 г. спрямо август 2021 г. е 100.2%, т.е. месечната инфлация е 0.2%. Инфлацията от началото на годината (септември 2021 г. спрямо декември 2020 г.) е 3.3%, а годишната инфлация за септември 2021 г. спрямо септември 2020 г. е 4.0%. Средногодишната инфлация за периода октомври 2020 - септември 2021 г. спрямо периода октомври 2019 - септември 2020 г. е 1.4%.</w:t>
            </w:r>
          </w:p>
          <w:p w:rsidR="00AD687D" w:rsidRPr="00217016" w:rsidRDefault="00AD687D" w:rsidP="00782EB3">
            <w:pPr>
              <w:jc w:val="both"/>
            </w:pPr>
          </w:p>
          <w:p w:rsidR="00AD687D" w:rsidRPr="00217016" w:rsidRDefault="00AD687D" w:rsidP="00782EB3">
            <w:pPr>
              <w:jc w:val="both"/>
            </w:pPr>
            <w:r w:rsidRPr="00217016">
              <w:t xml:space="preserve">Индексът на потребителските цени за октомври 2021 г. спрямо септември 2021 г. е 101.8%, т.е. месечната инфлация е 1.8%. Инфлацията от началото на </w:t>
            </w:r>
            <w:r w:rsidRPr="00217016">
              <w:lastRenderedPageBreak/>
              <w:t>годината (октомври 2021 г. спрямо декември 2020 г.) е 5.4%, а годишната инфлация за октомври 2021 г. спрямо октомври 2020 г. е 6.0%. Средногодишната инфлация за периода ноември 2020 - октомври 2021 г. спрямо периода ноември 2019 - октомври 2020 г. е 2.1%.</w:t>
            </w:r>
          </w:p>
          <w:p w:rsidR="00AD687D" w:rsidRPr="00217016" w:rsidRDefault="00AD687D" w:rsidP="00782EB3">
            <w:pPr>
              <w:jc w:val="both"/>
            </w:pPr>
            <w:r w:rsidRPr="00217016">
              <w:t>Хармонизираният индекс на потребителските цени за октомври 2021 г. спрямо септември 2021 г. е 101.3%, т.е. месечната инфлация е 1.3%. Инфлацията от началото на годината (октомври 2021 г. спрямо декември 2020 г.) е 4.6%, а годишната инфлация за октомври 2021 г. спрямо октомври 2020 г. е 5.2%. Средногодишната инфлация за периода ноември 2020 - октомври 2021 г. спрямо периода ноември 2019 - октомври 2020 г. е 1.8%.</w:t>
            </w:r>
          </w:p>
          <w:p w:rsidR="00AD687D" w:rsidRPr="00217016" w:rsidRDefault="00AD687D" w:rsidP="00782EB3">
            <w:pPr>
              <w:jc w:val="both"/>
            </w:pPr>
          </w:p>
          <w:p w:rsidR="00AD687D" w:rsidRPr="00217016" w:rsidRDefault="00AD687D" w:rsidP="00782EB3">
            <w:pPr>
              <w:jc w:val="both"/>
              <w:rPr>
                <w:highlight w:val="yellow"/>
              </w:rPr>
            </w:pPr>
            <w:r w:rsidRPr="00217016">
              <w:t>Индексът на потребителските цени за ноември 2021 г. спрямо октомври 2021 г. е 101.4%, т.е. месечната инфлация е 1.4%. Инфлацията от началото на годината (ноември 2021 г. спрямо декември 2020 г.) е 6.8%, а годишната инфлация за ноември 2021 г. спрямо ноември 2020 г. е 7.3%. Средногодишната инфлация за периода декември 2020 - ноември 2021 г. спрямо периода декември 2019 - ноември 2020 г. е 2.7%.</w:t>
            </w:r>
          </w:p>
          <w:p w:rsidR="00AD687D" w:rsidRPr="00217016" w:rsidRDefault="00AD687D" w:rsidP="00782EB3">
            <w:pPr>
              <w:jc w:val="both"/>
            </w:pPr>
            <w:r w:rsidRPr="00217016">
              <w:t>Хармонизираният индекс на потребителските цени за ноември 2021 г. спрямо октомври 2021 г. е 101.1%, т.е. месечната инфлация е 1.1%. Инфлацията от началото на годината (ноември 2021 г. спрямо декември 2020 г.) е 5.7%, а годишната инфлация за ноември 2021 г. спрямо ноември 2020 г. е 6.3%. Средногодишната инфлация за периода декември 2020 - ноември 2021 г. спрямо периода декември 2019 - ноември 2020 г. е 2.3%.</w:t>
            </w:r>
          </w:p>
          <w:p w:rsidR="00AD687D" w:rsidRPr="00217016" w:rsidRDefault="00AD687D" w:rsidP="00782EB3">
            <w:pPr>
              <w:jc w:val="both"/>
            </w:pPr>
          </w:p>
          <w:p w:rsidR="00AD687D" w:rsidRPr="00217016" w:rsidRDefault="00AD687D" w:rsidP="00782EB3">
            <w:pPr>
              <w:jc w:val="both"/>
            </w:pPr>
            <w:r w:rsidRPr="00217016">
              <w:t>Индексът на потребителските цени за декември 2021 г. спрямо ноември 2021 г. е 100.9%, т.е. месечната инфлация е 0.9%. Годишната инфлация за декември 2021 г. спрямо декември 2020 г. е 7.8%. Средногодишната инфлация за периода януари - декември 2021 г. спрямо периода януари - декември 2020 г. е 3.3%.</w:t>
            </w:r>
          </w:p>
          <w:p w:rsidR="00AD687D" w:rsidRPr="00217016" w:rsidRDefault="00AD687D" w:rsidP="00782EB3">
            <w:pPr>
              <w:jc w:val="both"/>
            </w:pPr>
            <w:r w:rsidRPr="00217016">
              <w:t>Хармонизираният индекс на потребителските цени за декември 2021 г. спрямо ноември 2021 г. е 100.8%, т.е. месечната инфлация е 0.8%. Годишната инфлация за декември 2021 г. спрямо декември 2020 г. е 6.6%. Средногодишната инфлация за периода януари - декември 2021 г. спрямо периода януари - декември 2020 г. е 2.8%.</w:t>
            </w:r>
          </w:p>
          <w:p w:rsidR="00AD687D" w:rsidRPr="00217016" w:rsidRDefault="00AD687D" w:rsidP="00782EB3">
            <w:pPr>
              <w:jc w:val="both"/>
            </w:pPr>
          </w:p>
          <w:p w:rsidR="00AD687D" w:rsidRPr="00217016" w:rsidRDefault="00AD687D" w:rsidP="00782EB3">
            <w:pPr>
              <w:jc w:val="center"/>
              <w:rPr>
                <w:bCs/>
              </w:rPr>
            </w:pPr>
            <w:r w:rsidRPr="00217016">
              <w:rPr>
                <w:bCs/>
                <w:noProof/>
              </w:rPr>
              <w:drawing>
                <wp:inline distT="0" distB="0" distL="0" distR="0" wp14:anchorId="1B768E8E" wp14:editId="2E478B85">
                  <wp:extent cx="2877835" cy="1586796"/>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424" cy="1588224"/>
                          </a:xfrm>
                          <a:prstGeom prst="rect">
                            <a:avLst/>
                          </a:prstGeom>
                          <a:noFill/>
                          <a:ln>
                            <a:noFill/>
                          </a:ln>
                        </pic:spPr>
                      </pic:pic>
                    </a:graphicData>
                  </a:graphic>
                </wp:inline>
              </w:drawing>
            </w:r>
          </w:p>
          <w:p w:rsidR="00AD687D" w:rsidRPr="00217016" w:rsidRDefault="00AD687D" w:rsidP="00782EB3">
            <w:pPr>
              <w:tabs>
                <w:tab w:val="left" w:pos="5512"/>
              </w:tabs>
              <w:ind w:right="1043"/>
              <w:jc w:val="right"/>
            </w:pPr>
            <w:r w:rsidRPr="00217016">
              <w:t>*Източник:НСИ</w:t>
            </w:r>
          </w:p>
          <w:p w:rsidR="00AD687D" w:rsidRPr="00217016" w:rsidRDefault="00AD687D" w:rsidP="00782EB3">
            <w:pPr>
              <w:jc w:val="right"/>
            </w:pPr>
          </w:p>
        </w:tc>
      </w:tr>
      <w:tr w:rsidR="00AD687D" w:rsidRPr="00217016" w:rsidTr="00782EB3">
        <w:trPr>
          <w:jc w:val="center"/>
        </w:trPr>
        <w:tc>
          <w:tcPr>
            <w:tcW w:w="1770" w:type="dxa"/>
            <w:shd w:val="clear" w:color="auto" w:fill="auto"/>
          </w:tcPr>
          <w:p w:rsidR="00AD687D" w:rsidRPr="00217016" w:rsidRDefault="00AD687D" w:rsidP="00782EB3">
            <w:r w:rsidRPr="00217016">
              <w:lastRenderedPageBreak/>
              <w:t>ВАЛУТЕН РИСК</w:t>
            </w:r>
          </w:p>
        </w:tc>
        <w:tc>
          <w:tcPr>
            <w:tcW w:w="8188" w:type="dxa"/>
            <w:shd w:val="clear" w:color="auto" w:fill="auto"/>
          </w:tcPr>
          <w:p w:rsidR="00AD687D" w:rsidRPr="00217016" w:rsidRDefault="00AD687D" w:rsidP="00782EB3">
            <w:pPr>
              <w:jc w:val="both"/>
            </w:pPr>
            <w:r w:rsidRPr="00217016">
              <w:t>Експозицията към валутния риск представлява зависимостта и ефектите от изменението на валутните курсове. Систематичният валутен риск е вероятността от евентуална промяна на валутния режим на страната (валутен борд), което би довело или до обезценяване на лева или до поскъпване на лева спрямо чуждестранните валути.</w:t>
            </w:r>
          </w:p>
          <w:p w:rsidR="00AD687D" w:rsidRPr="00217016" w:rsidRDefault="00AD687D" w:rsidP="00782EB3">
            <w:pPr>
              <w:jc w:val="both"/>
            </w:pPr>
            <w:r w:rsidRPr="00217016">
              <w:t xml:space="preserve">Валутният риск ще има влияния върху компании, имащи пазарни дялове, плащанията на които се извършват във валута, различна от лева и еврото. </w:t>
            </w:r>
            <w:r w:rsidRPr="00217016">
              <w:lastRenderedPageBreak/>
              <w:t xml:space="preserve">Българският лев е фиксиран към еврото в съотношение EUR 1 = BGN 1.95583, а Българската народна банка е длъжна да подържа ниво на българските левове в обръщение, равно на валутните резерви на банката, рискът от обезценяване на лева спрямо европейската валута е минимален и се състои във евентуално предсрочно премахване на валутния борд в страната. Очакванията са валутният борд да бъде отменен при приемането на еврото в България за официална платежна единица. </w:t>
            </w:r>
          </w:p>
          <w:p w:rsidR="00AD687D" w:rsidRPr="00217016" w:rsidRDefault="00AD687D" w:rsidP="00782EB3">
            <w:pPr>
              <w:jc w:val="both"/>
            </w:pPr>
            <w:r w:rsidRPr="00217016">
              <w:t xml:space="preserve">На свое заседание на 30.06.2021 г. Координационният съвет за подготовка на Република България за членство в еврозоната прие проект на Национален план за въвеждане на еврото в Република България. Ангажиментът на България за приемане на единната европейска валута е препотвърден в Договора за присъединяването на Република България и Румъния към Европейския съюз, след като първоначално е заявен при започване на преговорите на страната ни за членство в ЕС. Подготовката за присъединяването на България към еврозоната е при целева дата 1 януари 2024 година. Въвеждането на еврото е планирано без преходен период, като датата на приемане на еврото ще съвпада с въвеждането му като официална разплащателна единица. </w:t>
            </w:r>
            <w:proofErr w:type="spellStart"/>
            <w:r w:rsidRPr="00217016">
              <w:t>Превалутирането</w:t>
            </w:r>
            <w:proofErr w:type="spellEnd"/>
            <w:r w:rsidRPr="00217016">
              <w:t xml:space="preserve"> ще се извършва чрез прилагането на неотменимо фиксирания валутен курс между еврото и лева. А след въвеждане на еврото в рамките на месец левът и еврото ще бъдат едновременно законно платежно средство. Националният план за въвеждане на еврото в България е стратегическият документ, въз основа на който ще се реализира оперативната работа за замяна на лева с еврото. Документът е подготвен и приет в срока – 30 юни 2021 г., поставен в Постановление № 103 на МС от 25 март 2021 г. за изменение и допълнение на Постановление № 168 на Министерския съвет от 2015 г. за създаване на Координационен съвет за подготовка на Република България за членство в еврозоната (ДВ, бр. 52 от 2015 г.).</w:t>
            </w:r>
          </w:p>
          <w:p w:rsidR="00AD687D" w:rsidRPr="00217016" w:rsidRDefault="00AD687D" w:rsidP="00782EB3">
            <w:pPr>
              <w:jc w:val="both"/>
            </w:pPr>
            <w:r w:rsidRPr="00217016">
              <w:t xml:space="preserve">В Националния план за въвеждане на еврото в България са описани принципите, институционалната и правно-нормативната рамка за приемане на еврото, както и основните дейности за успешното въвеждане на еврото от 1 януари 2024 година. Документът разглежда всички важни оперативни дейности и мерки, които участниците в подготовката за въвеждането на еврото – частният, публичният сектор и гражданите – следва да извършват като част от процеса по въвеждането на еврото. </w:t>
            </w:r>
          </w:p>
          <w:p w:rsidR="00AD687D" w:rsidRPr="00217016" w:rsidRDefault="00AD687D" w:rsidP="00782EB3">
            <w:pPr>
              <w:jc w:val="both"/>
            </w:pPr>
            <w:r w:rsidRPr="00217016">
              <w:t xml:space="preserve">В началото на януари 2022 г. министър – председателят Кирил Петков в интервю пред </w:t>
            </w:r>
            <w:proofErr w:type="spellStart"/>
            <w:r w:rsidRPr="00217016">
              <w:t>Bloomberg</w:t>
            </w:r>
            <w:proofErr w:type="spellEnd"/>
            <w:r w:rsidRPr="00217016">
              <w:t xml:space="preserve"> TV потвърди, че България ще стане член на Еврозоната на 1 януари 2024 година. Той изказа становище, че преходът от българския лев към еврото трябва да се третира внимателно и изисква мащабна обществена информационна кампания и уточни, че страната ни ще запази непроменен сегашния фиксинг лев-евро до влизането през 2024 г.</w:t>
            </w:r>
          </w:p>
          <w:p w:rsidR="00AD687D" w:rsidRPr="00217016" w:rsidRDefault="00AD687D" w:rsidP="00782EB3">
            <w:pPr>
              <w:jc w:val="both"/>
            </w:pPr>
            <w:r w:rsidRPr="00217016">
              <w:rPr>
                <w:highlight w:val="yellow"/>
              </w:rPr>
              <w:t xml:space="preserve"> </w:t>
            </w:r>
          </w:p>
          <w:p w:rsidR="00AD687D" w:rsidRPr="00217016" w:rsidRDefault="00AD687D" w:rsidP="00782EB3">
            <w:pPr>
              <w:jc w:val="both"/>
              <w:rPr>
                <w:bCs/>
              </w:rPr>
            </w:pPr>
            <w:r w:rsidRPr="00217016">
              <w:rPr>
                <w:bCs/>
              </w:rPr>
              <w:t xml:space="preserve">Брутният външен дълг към даден момент отразява размерът на текущите и безусловни задължения, изискващи плащане на главница и/или лихва от дебитора в даден бъдещ момент, които се дължат на </w:t>
            </w:r>
            <w:proofErr w:type="spellStart"/>
            <w:r w:rsidRPr="00217016">
              <w:rPr>
                <w:bCs/>
              </w:rPr>
              <w:t>нерезиденти</w:t>
            </w:r>
            <w:proofErr w:type="spellEnd"/>
            <w:r w:rsidRPr="00217016">
              <w:rPr>
                <w:bCs/>
              </w:rPr>
              <w:t xml:space="preserve"> от </w:t>
            </w:r>
            <w:proofErr w:type="spellStart"/>
            <w:r w:rsidRPr="00217016">
              <w:rPr>
                <w:bCs/>
              </w:rPr>
              <w:t>резидентите</w:t>
            </w:r>
            <w:proofErr w:type="spellEnd"/>
            <w:r w:rsidRPr="00217016">
              <w:rPr>
                <w:bCs/>
              </w:rPr>
              <w:t xml:space="preserve"> на дадена икономика. Високият брутен външен дълг е предпоставка за потенциални проблеми с изплащането на задълженията, особено когато съществува значителен валутен риск.</w:t>
            </w:r>
          </w:p>
          <w:p w:rsidR="00AD687D" w:rsidRPr="00217016" w:rsidRDefault="00AD687D" w:rsidP="00782EB3">
            <w:pPr>
              <w:jc w:val="both"/>
              <w:rPr>
                <w:bCs/>
              </w:rPr>
            </w:pPr>
            <w:r w:rsidRPr="00217016">
              <w:rPr>
                <w:bCs/>
              </w:rPr>
              <w:t xml:space="preserve">По данни на БНБ от 29.12.2021 г. брутният външен дълг в края на октомври 2021 г. възлиза на 41 411.7 млн. евро (63.1% от БВП), което е с 2068.4 млн. евро (5.3%) повече в сравнение с края на октомври 2020 г. (39 343.3 млн. евро, 64.2% от БВП). В края на октомври 2021 г. краткосрочните задължения са 6271 млн. евро (15.1% от брутния дълг, 9.5% от БВП) и се увеличават с </w:t>
            </w:r>
            <w:r w:rsidRPr="00217016">
              <w:rPr>
                <w:bCs/>
              </w:rPr>
              <w:lastRenderedPageBreak/>
              <w:t>652.5 млн. евро (11.6%) спрямо края на октомври 2020 г. (5618.5 млн. евро, 14.3% от дълга, 9.2% от БВП). Дългосрочните задължения възлизат на 35 140.8 млн. евро (84.9% от брутния дълг, 53.5% от БВП), като се увеличават с 1416 млн. евро (4.2%) спрямо края на октомври 2020 г. (33 724.8 млн. евро, 85.7% от дълга, 55% от БВП).</w:t>
            </w:r>
          </w:p>
          <w:p w:rsidR="00AD687D" w:rsidRPr="00217016" w:rsidRDefault="00AD687D" w:rsidP="00782EB3">
            <w:pPr>
              <w:jc w:val="both"/>
            </w:pPr>
          </w:p>
        </w:tc>
      </w:tr>
      <w:tr w:rsidR="00AD687D" w:rsidRPr="00217016" w:rsidTr="00782EB3">
        <w:trPr>
          <w:jc w:val="center"/>
        </w:trPr>
        <w:tc>
          <w:tcPr>
            <w:tcW w:w="1770" w:type="dxa"/>
            <w:shd w:val="clear" w:color="auto" w:fill="auto"/>
          </w:tcPr>
          <w:p w:rsidR="00AD687D" w:rsidRPr="00217016" w:rsidRDefault="00AD687D" w:rsidP="00782EB3">
            <w:r w:rsidRPr="00217016">
              <w:lastRenderedPageBreak/>
              <w:t>ДАНЪЧЕН РИСК</w:t>
            </w:r>
          </w:p>
        </w:tc>
        <w:tc>
          <w:tcPr>
            <w:tcW w:w="8188" w:type="dxa"/>
            <w:shd w:val="clear" w:color="auto" w:fill="auto"/>
          </w:tcPr>
          <w:p w:rsidR="00AD687D" w:rsidRPr="00217016" w:rsidRDefault="00AD687D" w:rsidP="00782EB3">
            <w:pPr>
              <w:jc w:val="both"/>
            </w:pPr>
            <w:r w:rsidRPr="00217016">
              <w:t>От определящо значение за финансовия резултат на компаниите е запазването на текущия данъчен режим. Няма гаранция, че данъчното законодателство, което е от пряко значение за дейността на Дружеството, няма да бъде изменено в посока, която да доведе до значителни непредвидени разходи и съответно да се отрази неблагоприятно на неговата печалба. Системата на данъчно облагане в България все още се развива, в резултат на което може да възникне противоречива данъчна практика.</w:t>
            </w:r>
          </w:p>
          <w:p w:rsidR="00AD687D" w:rsidRPr="00217016" w:rsidRDefault="00AD687D" w:rsidP="00782EB3">
            <w:pPr>
              <w:jc w:val="both"/>
            </w:pPr>
          </w:p>
        </w:tc>
      </w:tr>
      <w:tr w:rsidR="00AD687D" w:rsidRPr="00217016" w:rsidTr="00782EB3">
        <w:trPr>
          <w:jc w:val="center"/>
        </w:trPr>
        <w:tc>
          <w:tcPr>
            <w:tcW w:w="1770" w:type="dxa"/>
            <w:shd w:val="clear" w:color="auto" w:fill="auto"/>
          </w:tcPr>
          <w:p w:rsidR="00AD687D" w:rsidRPr="00217016" w:rsidRDefault="00AD687D" w:rsidP="00782EB3">
            <w:r w:rsidRPr="00217016">
              <w:t>РИСК COVID-19</w:t>
            </w:r>
          </w:p>
        </w:tc>
        <w:tc>
          <w:tcPr>
            <w:tcW w:w="8188" w:type="dxa"/>
            <w:shd w:val="clear" w:color="auto" w:fill="auto"/>
          </w:tcPr>
          <w:p w:rsidR="00AD687D" w:rsidRPr="00217016" w:rsidRDefault="00AD687D" w:rsidP="00782EB3">
            <w:pPr>
              <w:jc w:val="both"/>
            </w:pPr>
            <w:r w:rsidRPr="00217016">
              <w:t xml:space="preserve">С цел ограничение на разпространението на COVID-19 в страната е обявена извънредна епидемична обстановка, която с Решение № 826 от 25.11.2021 г. на Министерски съвет бе удължена до 31 март 2022 г. Решението е мотивирано от разпространението на COVID-19 в страната, което бележи интензивното развитие на поредната </w:t>
            </w:r>
            <w:proofErr w:type="spellStart"/>
            <w:r w:rsidRPr="00217016">
              <w:t>пандемична</w:t>
            </w:r>
            <w:proofErr w:type="spellEnd"/>
            <w:r w:rsidRPr="00217016">
              <w:t xml:space="preserve"> вълна. Към датата на вземане на решението данните показват, че засегнати от новия </w:t>
            </w:r>
            <w:proofErr w:type="spellStart"/>
            <w:r w:rsidRPr="00217016">
              <w:t>коронавирус</w:t>
            </w:r>
            <w:proofErr w:type="spellEnd"/>
            <w:r w:rsidRPr="00217016">
              <w:t xml:space="preserve"> са всички области на страната, като в 93% от тях 14-дневната </w:t>
            </w:r>
            <w:proofErr w:type="spellStart"/>
            <w:r w:rsidRPr="00217016">
              <w:t>заболяемост</w:t>
            </w:r>
            <w:proofErr w:type="spellEnd"/>
            <w:r w:rsidRPr="00217016">
              <w:t xml:space="preserve"> е над 500 на 100 000 население (в 8, от които показателят надхвърля 1000 нови случая на 100 000 население). Случаи на COVID-19 се </w:t>
            </w:r>
            <w:proofErr w:type="spellStart"/>
            <w:r w:rsidRPr="00217016">
              <w:t>диагностицират</w:t>
            </w:r>
            <w:proofErr w:type="spellEnd"/>
            <w:r w:rsidRPr="00217016">
              <w:t xml:space="preserve"> при лица от всички възрастови групи. Съществено нарастване на </w:t>
            </w:r>
            <w:proofErr w:type="spellStart"/>
            <w:r w:rsidRPr="00217016">
              <w:t>заболяемостта</w:t>
            </w:r>
            <w:proofErr w:type="spellEnd"/>
            <w:r w:rsidRPr="00217016">
              <w:t xml:space="preserve"> се наблюдава при децата и младите лица (20-29 г.). Нараства и броят на хоспитализираните лица. Съответно </w:t>
            </w:r>
            <w:proofErr w:type="spellStart"/>
            <w:r w:rsidRPr="00217016">
              <w:t>ваксинационният</w:t>
            </w:r>
            <w:proofErr w:type="spellEnd"/>
            <w:r w:rsidRPr="00217016">
              <w:t xml:space="preserve"> обхват в страната е 25,53% и далеч от поставените от ЕС цели от 70% сред възрастни хора и население като цяло. Това допринася за регистрираните високи нива на </w:t>
            </w:r>
            <w:proofErr w:type="spellStart"/>
            <w:r w:rsidRPr="00217016">
              <w:t>заболяемост</w:t>
            </w:r>
            <w:proofErr w:type="spellEnd"/>
            <w:r w:rsidRPr="00217016">
              <w:t xml:space="preserve"> сред неваксинираните лица, които представят над 85% от всички заразени със SARS-CoV-2 лица. В тази връзка пандемията в България се отрази неблагоприятно върху дейността на дружествата, засили въздействието на всички по-горе изброени рискове върху дейността и увеличи несигурността по отношение на приходите, сроковете за изпълнение, достъп до финансиране, връзки с контрагенти и осъществяването на доставки. </w:t>
            </w:r>
          </w:p>
          <w:p w:rsidR="00AD687D" w:rsidRPr="00217016" w:rsidRDefault="00AD687D" w:rsidP="00782EB3">
            <w:pPr>
              <w:jc w:val="both"/>
            </w:pPr>
            <w:r w:rsidRPr="00217016">
              <w:t xml:space="preserve">На 15 юли 2021 г. с Решение № 518 на Министерски съвет от 2021 г. е приет Национален оперативен план за справяне с пандемията от SARS-CoV-2. Планът е разработен с цел превенция, след локализиране на варианти на вируса и реалната опасност от разпространението им и в нашата страна. В Плана са направени анализ и оценка на рисковете, както и на наличните ресурси на здравната система. Целта е да има </w:t>
            </w:r>
            <w:proofErr w:type="spellStart"/>
            <w:r w:rsidRPr="00217016">
              <w:t>предвидимост</w:t>
            </w:r>
            <w:proofErr w:type="spellEnd"/>
            <w:r w:rsidRPr="00217016">
              <w:t xml:space="preserve"> както за гражданите, така и за бизнеса.</w:t>
            </w:r>
          </w:p>
          <w:p w:rsidR="00AD687D" w:rsidRPr="00217016" w:rsidRDefault="00AD687D" w:rsidP="00782EB3">
            <w:pPr>
              <w:jc w:val="both"/>
            </w:pPr>
            <w:r w:rsidRPr="00217016">
              <w:t>Съгласно Националния план за справяне с пандемията от SARS-CoV-2, колко интензивна ще бъде евентуална следваща епидемична вълна зависи от фактори като:</w:t>
            </w:r>
          </w:p>
          <w:p w:rsidR="00AD687D" w:rsidRPr="00217016" w:rsidRDefault="00AD687D" w:rsidP="00AD687D">
            <w:pPr>
              <w:numPr>
                <w:ilvl w:val="0"/>
                <w:numId w:val="11"/>
              </w:numPr>
              <w:jc w:val="both"/>
            </w:pPr>
            <w:r w:rsidRPr="00217016">
              <w:t>Обхват на ваксинацията срещу COVID-19;</w:t>
            </w:r>
          </w:p>
          <w:p w:rsidR="00AD687D" w:rsidRPr="00217016" w:rsidRDefault="00AD687D" w:rsidP="00AD687D">
            <w:pPr>
              <w:numPr>
                <w:ilvl w:val="0"/>
                <w:numId w:val="11"/>
              </w:numPr>
              <w:jc w:val="both"/>
            </w:pPr>
            <w:r w:rsidRPr="00217016">
              <w:t>Прилагане на т. нар. не-фармацевтични мерки;</w:t>
            </w:r>
          </w:p>
          <w:p w:rsidR="00AD687D" w:rsidRPr="00217016" w:rsidRDefault="00AD687D" w:rsidP="00AD687D">
            <w:pPr>
              <w:numPr>
                <w:ilvl w:val="0"/>
                <w:numId w:val="11"/>
              </w:numPr>
              <w:jc w:val="both"/>
            </w:pPr>
            <w:r w:rsidRPr="00217016">
              <w:t xml:space="preserve">Ниво на колективния имунитет, придобит по естествен път след инфектиране с SARS-CoV-2. </w:t>
            </w:r>
          </w:p>
          <w:p w:rsidR="00AD687D" w:rsidRPr="00217016" w:rsidRDefault="00AD687D" w:rsidP="00782EB3">
            <w:pPr>
              <w:jc w:val="both"/>
            </w:pPr>
            <w:r w:rsidRPr="00217016">
              <w:t xml:space="preserve">Към момента на изготвяне на този доклад България се намира в поредната вълна на пандемията, причинена основно от нови щамове на вируса, като същевременно Европейската агенция по лекарствата разреши третата доза ваксина срещу COVID-19 с цел повишаване на имунния отговор. </w:t>
            </w:r>
            <w:r w:rsidRPr="00217016">
              <w:lastRenderedPageBreak/>
              <w:t xml:space="preserve">Същевременно в различни области на страната се въвеждат ограничителни мерки, като очакванията са, предвид засилващата се </w:t>
            </w:r>
            <w:proofErr w:type="spellStart"/>
            <w:r w:rsidRPr="00217016">
              <w:t>заболяемост</w:t>
            </w:r>
            <w:proofErr w:type="spellEnd"/>
            <w:r w:rsidRPr="00217016">
              <w:t>, въвеждане на допълнителни противоепидемични мерки, които неминуемо ще засегнат дейността на дружеството.</w:t>
            </w:r>
          </w:p>
        </w:tc>
      </w:tr>
    </w:tbl>
    <w:p w:rsidR="004E328B" w:rsidRDefault="004E328B" w:rsidP="003561AD">
      <w:pPr>
        <w:spacing w:line="360" w:lineRule="auto"/>
        <w:rPr>
          <w:b/>
          <w:bCs/>
          <w:sz w:val="22"/>
          <w:szCs w:val="22"/>
        </w:rPr>
      </w:pPr>
    </w:p>
    <w:p w:rsidR="00AD687D" w:rsidRPr="003561AD" w:rsidRDefault="00AD687D" w:rsidP="003561AD">
      <w:pPr>
        <w:spacing w:line="360" w:lineRule="auto"/>
        <w:rPr>
          <w:b/>
          <w:bCs/>
          <w:sz w:val="22"/>
          <w:szCs w:val="22"/>
        </w:rPr>
      </w:pPr>
      <w:r w:rsidRPr="003561AD">
        <w:rPr>
          <w:b/>
          <w:bCs/>
          <w:sz w:val="22"/>
          <w:szCs w:val="22"/>
        </w:rPr>
        <w:t>НЕСИСТЕМАТИЧНИ РИСКОВЕ</w:t>
      </w:r>
    </w:p>
    <w:p w:rsidR="00AD687D" w:rsidRPr="003561AD" w:rsidRDefault="00AD687D" w:rsidP="003561AD">
      <w:pPr>
        <w:spacing w:line="360" w:lineRule="auto"/>
        <w:jc w:val="both"/>
        <w:rPr>
          <w:sz w:val="22"/>
          <w:szCs w:val="22"/>
        </w:rPr>
      </w:pPr>
    </w:p>
    <w:p w:rsidR="00AD687D" w:rsidRPr="003561AD" w:rsidRDefault="00AD687D" w:rsidP="003561AD">
      <w:pPr>
        <w:spacing w:line="360" w:lineRule="auto"/>
        <w:jc w:val="both"/>
        <w:rPr>
          <w:sz w:val="22"/>
          <w:szCs w:val="22"/>
        </w:rPr>
      </w:pPr>
      <w:r w:rsidRPr="003561AD">
        <w:rPr>
          <w:sz w:val="22"/>
          <w:szCs w:val="22"/>
        </w:rPr>
        <w:t>Тук са включени рисковете, свързани с определен сектор, сегмент или индивидуална компания. Несистематични са: бизнес риска, специфичния фирмен риск, финансовия или кредитен риск и оперативния риск.</w:t>
      </w:r>
    </w:p>
    <w:p w:rsidR="00AD687D" w:rsidRPr="003561AD" w:rsidRDefault="00AD687D" w:rsidP="003561AD">
      <w:pPr>
        <w:keepNext/>
        <w:spacing w:before="120" w:after="120" w:line="360" w:lineRule="auto"/>
        <w:ind w:firstLine="708"/>
        <w:jc w:val="both"/>
        <w:rPr>
          <w:b/>
          <w:sz w:val="22"/>
          <w:szCs w:val="22"/>
          <w:u w:val="single"/>
        </w:rPr>
      </w:pPr>
      <w:r w:rsidRPr="003561AD">
        <w:rPr>
          <w:b/>
          <w:sz w:val="22"/>
          <w:szCs w:val="22"/>
          <w:u w:val="single"/>
        </w:rPr>
        <w:t>БИЗНЕС РИСК</w:t>
      </w:r>
    </w:p>
    <w:p w:rsidR="00AD687D" w:rsidRPr="003561AD" w:rsidRDefault="00AD687D" w:rsidP="003561AD">
      <w:pPr>
        <w:autoSpaceDE w:val="0"/>
        <w:autoSpaceDN w:val="0"/>
        <w:adjustRightInd w:val="0"/>
        <w:spacing w:line="360" w:lineRule="auto"/>
        <w:ind w:firstLine="708"/>
        <w:jc w:val="both"/>
        <w:rPr>
          <w:color w:val="000000"/>
          <w:sz w:val="22"/>
          <w:szCs w:val="22"/>
        </w:rPr>
      </w:pPr>
      <w:r w:rsidRPr="003561AD">
        <w:rPr>
          <w:sz w:val="22"/>
          <w:szCs w:val="22"/>
        </w:rPr>
        <w:t xml:space="preserve">Бизнес рискът или още наречен отраслов риск, е свързан със състоянието и тенденциите в развитието на отрасъла. Бизнес рискът се определя от особеностите на </w:t>
      </w:r>
      <w:r w:rsidRPr="003561AD">
        <w:rPr>
          <w:color w:val="000000"/>
          <w:sz w:val="22"/>
          <w:szCs w:val="22"/>
        </w:rPr>
        <w:t xml:space="preserve">отрасловите суровини и материали, конкуренцията в сектора, наличието и цената на специалистите, еластичността на търсенето на продукцията, достъпа до финансиране, технологиите и рентабилността на сектора. </w:t>
      </w:r>
    </w:p>
    <w:p w:rsidR="00AD687D" w:rsidRPr="003561AD" w:rsidRDefault="00AD687D" w:rsidP="003561AD">
      <w:pPr>
        <w:autoSpaceDE w:val="0"/>
        <w:autoSpaceDN w:val="0"/>
        <w:adjustRightInd w:val="0"/>
        <w:spacing w:line="360" w:lineRule="auto"/>
        <w:rPr>
          <w:color w:val="000000"/>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 xml:space="preserve">СПЕЦИФИЧЕН ФИРМЕН РИСК </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Специфичният фирмен риск е несистематичен риск, свързан с естеството на дейност на дружеството. За акционерите и мениджмънта на всяко дружество е важно възвръщаемостта от инвестираните средства и ресурси да съответства на риска, свързан с тази инвестиция.</w:t>
      </w:r>
    </w:p>
    <w:p w:rsidR="00AD687D" w:rsidRPr="003561AD" w:rsidRDefault="00AD687D" w:rsidP="003561AD">
      <w:pPr>
        <w:autoSpaceDE w:val="0"/>
        <w:autoSpaceDN w:val="0"/>
        <w:adjustRightInd w:val="0"/>
        <w:spacing w:line="360" w:lineRule="auto"/>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ФИНАНСОВ РИСК (ИЛИ КРЕДИТЕН РИСК)</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Това е рискът, произтичащ от невъзможността на дадено дружество да посрещне задълженията си по обслужване на привлечените средства. Тази финансова несигурност допълва бизнес риска. Рискът от невъзможност за посрещане на текущите задължения на </w:t>
      </w:r>
      <w:r w:rsidR="003561AD" w:rsidRPr="003561AD">
        <w:rPr>
          <w:rFonts w:eastAsia="Times New Roman"/>
          <w:sz w:val="22"/>
          <w:szCs w:val="22"/>
        </w:rPr>
        <w:t xml:space="preserve">ТЕЦ “МАРИЦА 3“ АД </w:t>
      </w:r>
      <w:r w:rsidRPr="003561AD">
        <w:rPr>
          <w:sz w:val="22"/>
          <w:szCs w:val="22"/>
        </w:rPr>
        <w:t>може да настъпи както при значително забавяне на плащанията от страна на клиентите, така и при неефективно управление на паричните потоци от дейността на компанията. Допускането на грешни прогнози и решения при управлението на паричните потоци и евентуално настъпването на ликвидна криза могат да доведат до непредвидени загуби и пропуснати ползи за дружеството. Противодействие на риска от намалена ликвидност може да бъде постоянното поддържане на минимални парични наличности и ефективното прогнозиране и управление на паричните потоци, дейности, към които финансовият мениджмънт на дружеството подхожда с максимално внимание и предпазливост.</w:t>
      </w:r>
    </w:p>
    <w:p w:rsidR="00AD687D" w:rsidRPr="003561AD" w:rsidRDefault="00AD687D" w:rsidP="003561AD">
      <w:pPr>
        <w:spacing w:line="360" w:lineRule="auto"/>
        <w:jc w:val="both"/>
        <w:rPr>
          <w:b/>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РИСК ОТ НЕВЪЗМОЖНОСТ ДРУЖЕСТВОТО ДА СЪБИРА ВЗЕМАНИЯТА СИ</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Съществува риск Дружеството да не успее да събира вземанията си. Ръководството на  Дружеството смята, че рискът не е съществен с оглед на добрата история на </w:t>
      </w:r>
      <w:proofErr w:type="spellStart"/>
      <w:r w:rsidRPr="003561AD">
        <w:rPr>
          <w:sz w:val="22"/>
          <w:szCs w:val="22"/>
        </w:rPr>
        <w:t>събираемост</w:t>
      </w:r>
      <w:proofErr w:type="spellEnd"/>
      <w:r w:rsidRPr="003561AD">
        <w:rPr>
          <w:sz w:val="22"/>
          <w:szCs w:val="22"/>
        </w:rPr>
        <w:t xml:space="preserve"> на вземанията и надеждността на търговските му партньори. Събираемостта на вземанията се </w:t>
      </w:r>
      <w:r w:rsidRPr="003561AD">
        <w:rPr>
          <w:sz w:val="22"/>
          <w:szCs w:val="22"/>
        </w:rPr>
        <w:lastRenderedPageBreak/>
        <w:t xml:space="preserve">следи текущо, като за целта дружеството извършва редовен преглед на вземанията си по клиенти, както и получените постъпления, като се извършва анализ на неплатените суми. </w:t>
      </w:r>
    </w:p>
    <w:p w:rsidR="00AD687D" w:rsidRPr="003561AD" w:rsidRDefault="00AD687D" w:rsidP="003561AD">
      <w:pPr>
        <w:autoSpaceDE w:val="0"/>
        <w:autoSpaceDN w:val="0"/>
        <w:adjustRightInd w:val="0"/>
        <w:spacing w:line="360" w:lineRule="auto"/>
        <w:jc w:val="both"/>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РИСК ОТ НЕИЗПЪЛНЕНИЕ ПО ЕДИН ИЛИ ПОВЕЧЕ ЗНАЧИТЕЛНИ ДОГОВОРИ</w:t>
      </w:r>
    </w:p>
    <w:p w:rsidR="00AD687D" w:rsidRPr="003561AD" w:rsidRDefault="003561AD" w:rsidP="003561AD">
      <w:pPr>
        <w:autoSpaceDE w:val="0"/>
        <w:autoSpaceDN w:val="0"/>
        <w:adjustRightInd w:val="0"/>
        <w:spacing w:line="360" w:lineRule="auto"/>
        <w:ind w:firstLine="708"/>
        <w:jc w:val="both"/>
        <w:rPr>
          <w:sz w:val="22"/>
          <w:szCs w:val="22"/>
        </w:rPr>
      </w:pPr>
      <w:r w:rsidRPr="003561AD">
        <w:rPr>
          <w:rFonts w:eastAsia="Times New Roman"/>
          <w:sz w:val="22"/>
          <w:szCs w:val="22"/>
        </w:rPr>
        <w:t xml:space="preserve">ТЕЦ “МАРИЦА 3“ АД </w:t>
      </w:r>
      <w:r w:rsidR="00AD687D" w:rsidRPr="003561AD">
        <w:rPr>
          <w:sz w:val="22"/>
          <w:szCs w:val="22"/>
        </w:rPr>
        <w:t>е страна по договори за предоставена и получена финансова помощ, във връзка с които Дружеството отчита значителни активи (вземания) и пасиви (задължения), които биха могли да повлияят върху платежоспособността на дружеството. Неизпълнение по един или повече от тези договори, от страна на дружеството или негов контрагент може да доведе до евентуални проблеми в ликвидната позиция и платежоспособността на дружеството.</w:t>
      </w:r>
    </w:p>
    <w:p w:rsidR="00AD687D" w:rsidRPr="003561AD" w:rsidRDefault="00AD687D" w:rsidP="003561AD">
      <w:pPr>
        <w:autoSpaceDE w:val="0"/>
        <w:autoSpaceDN w:val="0"/>
        <w:adjustRightInd w:val="0"/>
        <w:spacing w:line="360" w:lineRule="auto"/>
        <w:jc w:val="both"/>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ОПЕРАТИВЕН РИСК</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Оперативен е рискът от преки или косвени загуби, произтичащи от широк кръг причини, свързани с процесите, персонала, дейността и инфраструктурата на Дружеството, както и от външни фактори (различни от кредитни, пазарни и </w:t>
      </w:r>
      <w:proofErr w:type="spellStart"/>
      <w:r w:rsidRPr="003561AD">
        <w:rPr>
          <w:sz w:val="22"/>
          <w:szCs w:val="22"/>
        </w:rPr>
        <w:t>ликвиднирискове</w:t>
      </w:r>
      <w:proofErr w:type="spellEnd"/>
      <w:r w:rsidRPr="003561AD">
        <w:rPr>
          <w:sz w:val="22"/>
          <w:szCs w:val="22"/>
        </w:rPr>
        <w:t xml:space="preserve">), произтичащи от правни и регулаторни изисквания, от общоприети стандарти за корпоративно управление и организационна култура. Оперативен риск може да възникне при всички операции на Дружеството. По-конкретно, той е свързан със загуби или непредвидени разходи в резултат на неадекватни или неработещи вътрешни процеси и системи, човешки грешки, проблеми в компетентността, проблеми в текущото управление и контрол, липса на надеждни независими контролни механизми, както и неблагоприятни и недобронамерени външни събития и действия, в т.ч. и злоупотреби, измами, съдебни дела, щети от компютърен вирус, напускането на ключов персонал, щети от природни бедствия и други инциденти. </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Пропуски при изпълнението на поетите ангажименти могат да доведат до забавяне или неизпълнение на договорни ангажименти, което да предизвика съдебни дела и значителни непредвидени разходи за Дружеството. От друга страна, трудови инциденти, възникнали в хода на дейността на Дружеството биха могли да доведат до временно преустановяване на дейността, щети по имуществото и нараняване на персонала. Последното също би могло да доведе до съдебни дела, както и до санкции от страна на регулаторните органи. По тази причина </w:t>
      </w:r>
      <w:r w:rsidR="003561AD" w:rsidRPr="003561AD">
        <w:rPr>
          <w:rFonts w:eastAsia="Times New Roman"/>
          <w:sz w:val="22"/>
          <w:szCs w:val="22"/>
        </w:rPr>
        <w:t xml:space="preserve">ТЕЦ “МАРИЦА 3“ АД </w:t>
      </w:r>
      <w:r w:rsidRPr="003561AD">
        <w:rPr>
          <w:sz w:val="22"/>
          <w:szCs w:val="22"/>
        </w:rPr>
        <w:t xml:space="preserve">е приело процедури за безопасност на труда, както и стандартни оперативни процедури за определени видове дейности, които да гарантират безопасността на служителите. </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Дейността на Дружеството е специфична и изисква служителите на компанията да имат определени знания, умения и квалификация. Това поражда оперативен риск за </w:t>
      </w:r>
      <w:r w:rsidR="003561AD" w:rsidRPr="003561AD">
        <w:rPr>
          <w:rFonts w:eastAsia="Times New Roman"/>
          <w:sz w:val="22"/>
          <w:szCs w:val="22"/>
        </w:rPr>
        <w:t xml:space="preserve">ТЕЦ “МАРИЦА 3“ АД </w:t>
      </w:r>
      <w:r w:rsidRPr="003561AD">
        <w:rPr>
          <w:sz w:val="22"/>
          <w:szCs w:val="22"/>
        </w:rPr>
        <w:t xml:space="preserve">с оглед на недостига на квалифицирани кадри на местния пазар на труда. В тази посока съществува риск служители с висока квалификация и специфични технически умения да напуснат Дружеството и да не могат да бъдат заместени за продължителен период от време. Като превенция, в Дружеството са установени политики за управление на човешките ресурси и </w:t>
      </w:r>
      <w:r w:rsidRPr="003561AD">
        <w:rPr>
          <w:sz w:val="22"/>
          <w:szCs w:val="22"/>
        </w:rPr>
        <w:lastRenderedPageBreak/>
        <w:t xml:space="preserve">непрекъснато се предприемат мерки, целящи намаляване на текучеството и повишаване на мотивацията при основния производствен персонал. </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Пандемията от </w:t>
      </w:r>
      <w:proofErr w:type="spellStart"/>
      <w:r w:rsidRPr="003561AD">
        <w:rPr>
          <w:sz w:val="22"/>
          <w:szCs w:val="22"/>
        </w:rPr>
        <w:t>коронавирус</w:t>
      </w:r>
      <w:proofErr w:type="spellEnd"/>
      <w:r w:rsidRPr="003561AD">
        <w:rPr>
          <w:sz w:val="22"/>
          <w:szCs w:val="22"/>
        </w:rPr>
        <w:t xml:space="preserve"> оказа влияние и върху организацията на работа на служителите в дружеството, което увеличи риска от възможни финансови загуби, вследствие на допуснати пропуски от персонала. С цел минимизиране на негативните ефекти и недопускане понижаване на качеството на услугите или спиране на извършването им и разпространение на вируса, ръководството на </w:t>
      </w:r>
      <w:r w:rsidR="003561AD" w:rsidRPr="003561AD">
        <w:rPr>
          <w:rFonts w:eastAsia="Times New Roman"/>
          <w:sz w:val="22"/>
          <w:szCs w:val="22"/>
        </w:rPr>
        <w:t>ТЕЦ “МАРИЦА 3“ АД</w:t>
      </w:r>
      <w:r w:rsidRPr="003561AD">
        <w:rPr>
          <w:sz w:val="22"/>
          <w:szCs w:val="22"/>
        </w:rPr>
        <w:t xml:space="preserve"> предприе бързи и адекватни действия чрез: ограничаване на контактите до минимум между служители, клиенти и трети страни; организация на дистанционна работа на служителите, където е приложимо; спазване на безопасна дистанция; спазване на висока лична хигиена и висока хигиена на работните места; измерване на телесната температура на служителите; носене на предпазни маски от служителите.</w:t>
      </w:r>
    </w:p>
    <w:p w:rsidR="00AD687D" w:rsidRPr="003561AD" w:rsidRDefault="00AD687D" w:rsidP="003561AD">
      <w:pPr>
        <w:autoSpaceDE w:val="0"/>
        <w:autoSpaceDN w:val="0"/>
        <w:adjustRightInd w:val="0"/>
        <w:spacing w:line="360" w:lineRule="auto"/>
        <w:jc w:val="both"/>
        <w:rPr>
          <w:color w:val="FF0000"/>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ЕКОЛОГИЧЕН РИСК</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Това е риск от замърсяване и увреждане на околната среда, което може да настъпи хода на обичайната дейност на Дружеството. В България е в сила законодателство, което изисква от дружествата да предприемат редица мерки за ограничаване и доведе до финансови санкции и дори принудително прекратяване на дейността на нарушителя. В тази връзка </w:t>
      </w:r>
      <w:r w:rsidR="003561AD" w:rsidRPr="00B340AD">
        <w:rPr>
          <w:rFonts w:eastAsia="Times New Roman"/>
        </w:rPr>
        <w:t>ТЕЦ “МАРИЦА 3“ АД</w:t>
      </w:r>
      <w:r w:rsidRPr="003561AD">
        <w:rPr>
          <w:sz w:val="22"/>
          <w:szCs w:val="22"/>
        </w:rPr>
        <w:t xml:space="preserve"> е възприело политики за стриктно спазване на всички законови изисквания в областта на екологията.</w:t>
      </w:r>
    </w:p>
    <w:p w:rsidR="00AD687D" w:rsidRPr="003561AD" w:rsidRDefault="00AD687D" w:rsidP="003561AD">
      <w:pPr>
        <w:autoSpaceDE w:val="0"/>
        <w:autoSpaceDN w:val="0"/>
        <w:adjustRightInd w:val="0"/>
        <w:spacing w:line="360" w:lineRule="auto"/>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 xml:space="preserve">РИСК ОТ ОСЪЩЕСТВЯВАНЕ НА СДЕЛКИ СЪС СВЪРЗАНИ ЛИЦА ПРИ УСЛОВИЯ, РАЗЛИЧАВАЩИ СЕ ОТ ПАЗАРНИТЕ </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Предвид наличието на свързани с дружеството лица, съществува риск от осъществяване на сделки с тях при условия, различаващи се от пазарните. Такива сделки биха могли да засегнат неблагоприятно финансовото състояние на </w:t>
      </w:r>
      <w:proofErr w:type="spellStart"/>
      <w:r w:rsidRPr="003561AD">
        <w:rPr>
          <w:sz w:val="22"/>
          <w:szCs w:val="22"/>
        </w:rPr>
        <w:t>емитента</w:t>
      </w:r>
      <w:proofErr w:type="spellEnd"/>
      <w:r w:rsidRPr="003561AD">
        <w:rPr>
          <w:sz w:val="22"/>
          <w:szCs w:val="22"/>
        </w:rPr>
        <w:t xml:space="preserve"> и интересите на акционерите. До момента няма практика за извършване на сделки със свързани лица при непазарни условия.</w:t>
      </w:r>
    </w:p>
    <w:p w:rsidR="00AD687D" w:rsidRPr="003561AD" w:rsidRDefault="00AD687D" w:rsidP="003561AD">
      <w:pPr>
        <w:autoSpaceDE w:val="0"/>
        <w:autoSpaceDN w:val="0"/>
        <w:adjustRightInd w:val="0"/>
        <w:spacing w:line="360" w:lineRule="auto"/>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РИСК ОТ ПРОМЯНА НА ОСНОВНИЯ АКЦИОНЕР (ОТ ПРОМЯНА В КОНТРОЛА) НА ДРУЖЕСТВОТО</w:t>
      </w:r>
    </w:p>
    <w:p w:rsidR="00AD687D" w:rsidRPr="003561AD" w:rsidRDefault="00AD687D" w:rsidP="003561AD">
      <w:pPr>
        <w:autoSpaceDE w:val="0"/>
        <w:autoSpaceDN w:val="0"/>
        <w:adjustRightInd w:val="0"/>
        <w:spacing w:line="360" w:lineRule="auto"/>
        <w:ind w:firstLine="708"/>
        <w:jc w:val="both"/>
        <w:rPr>
          <w:sz w:val="22"/>
          <w:szCs w:val="22"/>
        </w:rPr>
      </w:pPr>
      <w:r w:rsidRPr="003561AD">
        <w:rPr>
          <w:sz w:val="22"/>
          <w:szCs w:val="22"/>
        </w:rPr>
        <w:t xml:space="preserve">Доколкото основният акционер може да промени Устава, ръководството, стратегията за развитие на Дружеството и да одобрява осъществяването на съществени сделки с активите на дружеството, това може да се отрази неблагоприятно на интересите на миноритарните акционери. Освен това при промяна на основния акционер, респективно на контрола, за някои от миноритарните акционери може да се окаже проблемно или невъзможно да държат акции в дружеството заради концентрация, свързаност или други инвестиционни ограничения. Въпреки че по закон промяната в основния акционер съгласно законово определени прагове и условия следва да доведе до </w:t>
      </w:r>
      <w:proofErr w:type="spellStart"/>
      <w:r w:rsidRPr="003561AD">
        <w:rPr>
          <w:sz w:val="22"/>
          <w:szCs w:val="22"/>
        </w:rPr>
        <w:t>търгово</w:t>
      </w:r>
      <w:proofErr w:type="spellEnd"/>
      <w:r w:rsidRPr="003561AD">
        <w:rPr>
          <w:sz w:val="22"/>
          <w:szCs w:val="22"/>
        </w:rPr>
        <w:t xml:space="preserve"> предложение от страна на новото лице акционер към останалите акционери, няма гаранция че такова предложение ще бъде отправено.</w:t>
      </w:r>
    </w:p>
    <w:p w:rsidR="00AD687D" w:rsidRPr="003561AD" w:rsidRDefault="00AD687D" w:rsidP="003561AD">
      <w:pPr>
        <w:autoSpaceDE w:val="0"/>
        <w:autoSpaceDN w:val="0"/>
        <w:adjustRightInd w:val="0"/>
        <w:spacing w:line="360" w:lineRule="auto"/>
        <w:rPr>
          <w:sz w:val="22"/>
          <w:szCs w:val="22"/>
        </w:rPr>
      </w:pPr>
    </w:p>
    <w:p w:rsidR="00AD687D" w:rsidRPr="003561AD" w:rsidRDefault="00AD687D" w:rsidP="003561AD">
      <w:pPr>
        <w:keepNext/>
        <w:spacing w:line="360" w:lineRule="auto"/>
        <w:ind w:firstLine="708"/>
        <w:jc w:val="both"/>
        <w:rPr>
          <w:b/>
          <w:sz w:val="22"/>
          <w:szCs w:val="22"/>
          <w:u w:val="single"/>
        </w:rPr>
      </w:pPr>
      <w:r w:rsidRPr="003561AD">
        <w:rPr>
          <w:b/>
          <w:sz w:val="22"/>
          <w:szCs w:val="22"/>
          <w:u w:val="single"/>
        </w:rPr>
        <w:t xml:space="preserve">ВЛИЯНИЕ НА COVID-19 ВЪРХУ ДЕЙНОСТТА НА ДРУЖЕСТВОТО </w:t>
      </w:r>
    </w:p>
    <w:p w:rsidR="003561AD" w:rsidRDefault="00AD687D" w:rsidP="003561AD">
      <w:pPr>
        <w:spacing w:line="360" w:lineRule="auto"/>
        <w:ind w:firstLine="709"/>
        <w:jc w:val="both"/>
        <w:rPr>
          <w:rFonts w:eastAsia="Times New Roman"/>
        </w:rPr>
      </w:pPr>
      <w:r w:rsidRPr="003561AD">
        <w:rPr>
          <w:sz w:val="22"/>
          <w:szCs w:val="22"/>
          <w:lang w:eastAsia="en-US"/>
        </w:rPr>
        <w:t xml:space="preserve">Съгласно действащото законодателство в Р. България при наличие на определени епидемични предпоставки е възможно обявяване на извънредна епидемична обстановка. Обявяването на извънредна епидемична обстановка позволява на държавните и общински власти въвеждане на редица ограничения в дейността на стопанските субекти с цел защита на живота и здравето на гражданите. През цялата 2021 г. в България е обявена извънредна епидемична обстановка, като са въвеждани и отменяни различни ограничения, засягащи пряко и непряко дейността на </w:t>
      </w:r>
      <w:r w:rsidRPr="003561AD">
        <w:rPr>
          <w:sz w:val="22"/>
          <w:szCs w:val="22"/>
        </w:rPr>
        <w:t>„</w:t>
      </w:r>
      <w:r w:rsidR="003561AD" w:rsidRPr="00B340AD">
        <w:rPr>
          <w:rFonts w:eastAsia="Times New Roman"/>
        </w:rPr>
        <w:t>ТЕЦ “МАРИЦА 3“ АД</w:t>
      </w:r>
      <w:r w:rsidR="003561AD">
        <w:rPr>
          <w:rFonts w:eastAsia="Times New Roman"/>
        </w:rPr>
        <w:t>.</w:t>
      </w:r>
      <w:r w:rsidR="003561AD" w:rsidRPr="00B340AD">
        <w:rPr>
          <w:rFonts w:eastAsia="Times New Roman"/>
        </w:rPr>
        <w:t xml:space="preserve"> </w:t>
      </w:r>
    </w:p>
    <w:p w:rsidR="00AD687D" w:rsidRPr="003561AD" w:rsidRDefault="00AD687D" w:rsidP="003561AD">
      <w:pPr>
        <w:spacing w:line="360" w:lineRule="auto"/>
        <w:ind w:firstLine="709"/>
        <w:jc w:val="both"/>
        <w:rPr>
          <w:sz w:val="22"/>
          <w:szCs w:val="22"/>
          <w:lang w:eastAsia="en-US"/>
        </w:rPr>
      </w:pPr>
      <w:r w:rsidRPr="003561AD">
        <w:rPr>
          <w:sz w:val="22"/>
          <w:szCs w:val="22"/>
          <w:lang w:eastAsia="en-US"/>
        </w:rPr>
        <w:t xml:space="preserve">В приетия с Решение № 518 на МС от 15 юли 2021 г. Национален план за справяне с пандемията от SARS-CoV-2 е обърнато сериозно внимание на риска от разпространение на следваща </w:t>
      </w:r>
      <w:proofErr w:type="spellStart"/>
      <w:r w:rsidRPr="003561AD">
        <w:rPr>
          <w:sz w:val="22"/>
          <w:szCs w:val="22"/>
          <w:lang w:eastAsia="en-US"/>
        </w:rPr>
        <w:t>пандемична</w:t>
      </w:r>
      <w:proofErr w:type="spellEnd"/>
      <w:r w:rsidRPr="003561AD">
        <w:rPr>
          <w:sz w:val="22"/>
          <w:szCs w:val="22"/>
          <w:lang w:eastAsia="en-US"/>
        </w:rPr>
        <w:t xml:space="preserve"> вълна, предизвикана от нови варианти на SARS-CoV-2. В тази връзка и предвид епидемичната обстановка в страната, се очаква въвеждане на нови ограничителни мерки, които ще влияят осезателно и на дейността на </w:t>
      </w:r>
      <w:r w:rsidR="003561AD" w:rsidRPr="00B340AD">
        <w:rPr>
          <w:rFonts w:eastAsia="Times New Roman"/>
        </w:rPr>
        <w:t>ТЕЦ “МАРИЦА 3“ АД</w:t>
      </w:r>
      <w:r w:rsidRPr="003561AD">
        <w:rPr>
          <w:sz w:val="22"/>
          <w:szCs w:val="22"/>
          <w:lang w:eastAsia="en-US"/>
        </w:rPr>
        <w:t xml:space="preserve">. През четвърто тримесечие на 2021 г. се въведе принципно нова противоепидемична мярка, а именно въведе се цифров COVID сертификат на гражданите на ЕС за всички дейности на закрито. За посещение на заведения за хранене и развлечения; хотели; кина; театри; циркови представления; концерти; галерии; магазини тип </w:t>
      </w:r>
      <w:proofErr w:type="spellStart"/>
      <w:r w:rsidRPr="003561AD">
        <w:rPr>
          <w:sz w:val="22"/>
          <w:szCs w:val="22"/>
          <w:lang w:eastAsia="en-US"/>
        </w:rPr>
        <w:t>мол</w:t>
      </w:r>
      <w:proofErr w:type="spellEnd"/>
      <w:r w:rsidRPr="003561AD">
        <w:rPr>
          <w:sz w:val="22"/>
          <w:szCs w:val="22"/>
          <w:lang w:eastAsia="en-US"/>
        </w:rPr>
        <w:t xml:space="preserve"> - над 300 кв.м (мярката не важи за хранителни магазини и аптеки); фитнес центрове; спортни зали и клубове е задължително лицата да имат издаден зелен сертификат.</w:t>
      </w:r>
    </w:p>
    <w:p w:rsidR="00AD687D" w:rsidRPr="003561AD" w:rsidRDefault="00AD687D" w:rsidP="003561AD">
      <w:pPr>
        <w:spacing w:line="360" w:lineRule="auto"/>
        <w:ind w:firstLine="709"/>
        <w:jc w:val="both"/>
        <w:rPr>
          <w:sz w:val="22"/>
          <w:szCs w:val="22"/>
          <w:lang w:eastAsia="en-US"/>
        </w:rPr>
      </w:pPr>
      <w:r w:rsidRPr="003561AD">
        <w:rPr>
          <w:sz w:val="22"/>
          <w:szCs w:val="22"/>
          <w:lang w:eastAsia="en-US"/>
        </w:rPr>
        <w:t xml:space="preserve">Въвежданите мерки са с различен интензитет, но всички те влияят на финансовите резултати на </w:t>
      </w:r>
      <w:r w:rsidR="000A3F28">
        <w:rPr>
          <w:rFonts w:eastAsia="Times New Roman"/>
        </w:rPr>
        <w:t>Групата</w:t>
      </w:r>
      <w:r w:rsidRPr="003561AD">
        <w:rPr>
          <w:sz w:val="22"/>
          <w:szCs w:val="22"/>
          <w:lang w:eastAsia="en-US"/>
        </w:rPr>
        <w:t>, чрез въвеждане на задължения, водещи до извършване на допълнителни разходи или въвеждане на ограничения, непозволяващи реализиране на приходи.</w:t>
      </w:r>
    </w:p>
    <w:p w:rsidR="00AD687D" w:rsidRPr="003561AD" w:rsidRDefault="00AD687D" w:rsidP="003561AD">
      <w:pPr>
        <w:spacing w:line="360" w:lineRule="auto"/>
        <w:ind w:firstLine="709"/>
        <w:jc w:val="both"/>
        <w:rPr>
          <w:sz w:val="22"/>
          <w:szCs w:val="22"/>
          <w:lang w:eastAsia="en-US"/>
        </w:rPr>
      </w:pPr>
      <w:r w:rsidRPr="003561AD">
        <w:rPr>
          <w:sz w:val="22"/>
          <w:szCs w:val="22"/>
          <w:lang w:eastAsia="en-US"/>
        </w:rPr>
        <w:t xml:space="preserve">Ръководството на </w:t>
      </w:r>
      <w:r w:rsidR="003561AD" w:rsidRPr="00B340AD">
        <w:rPr>
          <w:rFonts w:eastAsia="Times New Roman"/>
        </w:rPr>
        <w:t xml:space="preserve">ТЕЦ “МАРИЦА 3“ АД </w:t>
      </w:r>
      <w:r w:rsidRPr="003561AD">
        <w:rPr>
          <w:sz w:val="22"/>
          <w:szCs w:val="22"/>
          <w:lang w:eastAsia="en-US"/>
        </w:rPr>
        <w:t>ще продължи да оценява въздействието на кризата COVID-19, ще прави оценка на риска и ще предприема гъвкави действия, основаващи се на Националния план за справяне с пандемията от SARS-CoV-2 и предвидените в него мерки.</w:t>
      </w:r>
    </w:p>
    <w:p w:rsidR="00AD687D" w:rsidRPr="003561AD" w:rsidRDefault="00AD687D" w:rsidP="003561AD">
      <w:pPr>
        <w:autoSpaceDE w:val="0"/>
        <w:autoSpaceDN w:val="0"/>
        <w:adjustRightInd w:val="0"/>
        <w:spacing w:line="360" w:lineRule="auto"/>
        <w:ind w:firstLine="709"/>
        <w:jc w:val="both"/>
        <w:rPr>
          <w:sz w:val="22"/>
          <w:szCs w:val="22"/>
        </w:rPr>
      </w:pPr>
    </w:p>
    <w:p w:rsidR="00AD687D" w:rsidRPr="003561AD" w:rsidRDefault="00AD687D" w:rsidP="003561AD">
      <w:pPr>
        <w:keepNext/>
        <w:numPr>
          <w:ilvl w:val="0"/>
          <w:numId w:val="10"/>
        </w:numPr>
        <w:spacing w:line="360" w:lineRule="auto"/>
        <w:ind w:left="360" w:right="74"/>
        <w:jc w:val="both"/>
        <w:rPr>
          <w:b/>
          <w:sz w:val="22"/>
          <w:szCs w:val="22"/>
          <w:u w:val="single"/>
        </w:rPr>
      </w:pPr>
      <w:r w:rsidRPr="003561AD">
        <w:rPr>
          <w:b/>
          <w:sz w:val="22"/>
          <w:szCs w:val="22"/>
          <w:u w:val="single"/>
        </w:rPr>
        <w:t>ИНФОРМАЦИЯ ЗА СКЛЮЧЕНИ ГОЛЕМИ СДЕЛКИ МЕЖДУ СВЪРЗАНИ ЛИЦА ПРЕЗ ОТЧЕТНИЯ ПЕРИОД</w:t>
      </w:r>
    </w:p>
    <w:p w:rsidR="00AD687D" w:rsidRPr="003561AD" w:rsidRDefault="00AD687D" w:rsidP="003561AD">
      <w:pPr>
        <w:keepNext/>
        <w:spacing w:line="360" w:lineRule="auto"/>
        <w:ind w:right="74"/>
        <w:jc w:val="both"/>
        <w:rPr>
          <w:b/>
          <w:sz w:val="22"/>
          <w:szCs w:val="22"/>
          <w:u w:val="single"/>
        </w:rPr>
      </w:pPr>
    </w:p>
    <w:p w:rsidR="00AD687D" w:rsidRPr="003561AD" w:rsidRDefault="00AD687D" w:rsidP="003561AD">
      <w:pPr>
        <w:spacing w:line="360" w:lineRule="auto"/>
        <w:jc w:val="both"/>
        <w:rPr>
          <w:sz w:val="22"/>
          <w:szCs w:val="22"/>
        </w:rPr>
      </w:pPr>
      <w:r w:rsidRPr="003561AD">
        <w:rPr>
          <w:sz w:val="22"/>
          <w:szCs w:val="22"/>
        </w:rPr>
        <w:t>През отчетния период дружеството няма сключени сделки между свързани лица.</w:t>
      </w:r>
    </w:p>
    <w:p w:rsidR="00AD687D" w:rsidRPr="003561AD" w:rsidRDefault="00AD687D" w:rsidP="003561AD">
      <w:pPr>
        <w:spacing w:line="360" w:lineRule="auto"/>
        <w:jc w:val="both"/>
        <w:rPr>
          <w:sz w:val="22"/>
          <w:szCs w:val="22"/>
        </w:rPr>
      </w:pPr>
    </w:p>
    <w:p w:rsidR="00AD687D" w:rsidRPr="00217016" w:rsidRDefault="00AD687D" w:rsidP="00AD687D">
      <w:pPr>
        <w:rPr>
          <w:b/>
          <w:bCs/>
        </w:rPr>
      </w:pPr>
    </w:p>
    <w:p w:rsidR="00AD687D" w:rsidRPr="00217016" w:rsidRDefault="00AD687D" w:rsidP="00AD687D">
      <w:pPr>
        <w:rPr>
          <w:b/>
          <w:bCs/>
        </w:rPr>
      </w:pPr>
    </w:p>
    <w:p w:rsidR="00AD687D" w:rsidRPr="00217016" w:rsidRDefault="00AD687D" w:rsidP="00AD687D">
      <w:pPr>
        <w:rPr>
          <w:b/>
          <w:bCs/>
        </w:rPr>
      </w:pPr>
    </w:p>
    <w:p w:rsidR="00AD687D" w:rsidRPr="00217016" w:rsidRDefault="00AD687D" w:rsidP="003354DB">
      <w:pPr>
        <w:jc w:val="both"/>
      </w:pPr>
      <w:r w:rsidRPr="00217016">
        <w:t xml:space="preserve">Дата на съставяне: </w:t>
      </w:r>
      <w:r w:rsidR="000A3F28">
        <w:t>28.02</w:t>
      </w:r>
      <w:r w:rsidRPr="00217016">
        <w:t>.2022 г.</w:t>
      </w:r>
      <w:r w:rsidR="003354DB">
        <w:t xml:space="preserve">                      </w:t>
      </w:r>
      <w:r w:rsidRPr="00217016">
        <w:t>Изпълнителен</w:t>
      </w:r>
      <w:r w:rsidR="003354DB">
        <w:t xml:space="preserve"> </w:t>
      </w:r>
      <w:r w:rsidRPr="00217016">
        <w:t>директор: ...............................</w:t>
      </w:r>
    </w:p>
    <w:p w:rsidR="00146F3D" w:rsidRPr="00146F3D" w:rsidRDefault="003354DB" w:rsidP="0092056A">
      <w:pPr>
        <w:tabs>
          <w:tab w:val="left" w:pos="3084"/>
          <w:tab w:val="center" w:pos="4818"/>
        </w:tabs>
        <w:spacing w:after="240"/>
        <w:rPr>
          <w:lang w:val="en-US"/>
        </w:rPr>
      </w:pPr>
      <w:r>
        <w:t xml:space="preserve">                                                                                                                           </w:t>
      </w:r>
      <w:r w:rsidR="00AD687D" w:rsidRPr="00217016">
        <w:t>/</w:t>
      </w:r>
      <w:r>
        <w:t>Илиан Павлов</w:t>
      </w:r>
      <w:r w:rsidR="00AD687D" w:rsidRPr="00217016">
        <w:t>/</w:t>
      </w:r>
    </w:p>
    <w:sectPr w:rsidR="00146F3D" w:rsidRPr="00146F3D" w:rsidSect="004E328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E69"/>
    <w:multiLevelType w:val="multilevel"/>
    <w:tmpl w:val="650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86D7A"/>
    <w:multiLevelType w:val="hybridMultilevel"/>
    <w:tmpl w:val="2F702D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1FC72BE"/>
    <w:multiLevelType w:val="multilevel"/>
    <w:tmpl w:val="569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D4CA8"/>
    <w:multiLevelType w:val="multilevel"/>
    <w:tmpl w:val="1396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A33E2"/>
    <w:multiLevelType w:val="multilevel"/>
    <w:tmpl w:val="4E8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05151"/>
    <w:multiLevelType w:val="hybridMultilevel"/>
    <w:tmpl w:val="9D4C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75BF3"/>
    <w:multiLevelType w:val="multilevel"/>
    <w:tmpl w:val="61A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07A48"/>
    <w:multiLevelType w:val="multilevel"/>
    <w:tmpl w:val="D37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C7278"/>
    <w:multiLevelType w:val="multilevel"/>
    <w:tmpl w:val="473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D7B46"/>
    <w:multiLevelType w:val="multilevel"/>
    <w:tmpl w:val="F71C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868CD"/>
    <w:multiLevelType w:val="multilevel"/>
    <w:tmpl w:val="B4D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9"/>
  </w:num>
  <w:num w:numId="5">
    <w:abstractNumId w:val="7"/>
  </w:num>
  <w:num w:numId="6">
    <w:abstractNumId w:val="6"/>
  </w:num>
  <w:num w:numId="7">
    <w:abstractNumId w:val="2"/>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2B"/>
    <w:rsid w:val="000662BA"/>
    <w:rsid w:val="000A3F28"/>
    <w:rsid w:val="000E2AD1"/>
    <w:rsid w:val="001018D7"/>
    <w:rsid w:val="0011402B"/>
    <w:rsid w:val="00137547"/>
    <w:rsid w:val="00146F3D"/>
    <w:rsid w:val="0015171A"/>
    <w:rsid w:val="00160D1C"/>
    <w:rsid w:val="00183777"/>
    <w:rsid w:val="001A01DA"/>
    <w:rsid w:val="001A3077"/>
    <w:rsid w:val="001D05D8"/>
    <w:rsid w:val="001D2297"/>
    <w:rsid w:val="001E48FD"/>
    <w:rsid w:val="00245B34"/>
    <w:rsid w:val="00255148"/>
    <w:rsid w:val="0027060B"/>
    <w:rsid w:val="002B31F9"/>
    <w:rsid w:val="002D5E5C"/>
    <w:rsid w:val="003354DB"/>
    <w:rsid w:val="003561AD"/>
    <w:rsid w:val="00377804"/>
    <w:rsid w:val="00395D9C"/>
    <w:rsid w:val="004250D4"/>
    <w:rsid w:val="0043455C"/>
    <w:rsid w:val="00476FDD"/>
    <w:rsid w:val="004B7136"/>
    <w:rsid w:val="004E328B"/>
    <w:rsid w:val="00507C57"/>
    <w:rsid w:val="0053485A"/>
    <w:rsid w:val="0054193F"/>
    <w:rsid w:val="0054326B"/>
    <w:rsid w:val="005444E9"/>
    <w:rsid w:val="0056439F"/>
    <w:rsid w:val="00581960"/>
    <w:rsid w:val="005D3CC1"/>
    <w:rsid w:val="0060300E"/>
    <w:rsid w:val="00611962"/>
    <w:rsid w:val="00645B04"/>
    <w:rsid w:val="006B3177"/>
    <w:rsid w:val="006F3DD8"/>
    <w:rsid w:val="0070262F"/>
    <w:rsid w:val="00712739"/>
    <w:rsid w:val="007705C2"/>
    <w:rsid w:val="007B3796"/>
    <w:rsid w:val="007B79E0"/>
    <w:rsid w:val="007C2556"/>
    <w:rsid w:val="007F3B15"/>
    <w:rsid w:val="008062CF"/>
    <w:rsid w:val="00831226"/>
    <w:rsid w:val="008675E1"/>
    <w:rsid w:val="00891925"/>
    <w:rsid w:val="00892ED3"/>
    <w:rsid w:val="0092056A"/>
    <w:rsid w:val="009229DE"/>
    <w:rsid w:val="00923D5B"/>
    <w:rsid w:val="00925C2C"/>
    <w:rsid w:val="00927DD1"/>
    <w:rsid w:val="00946E01"/>
    <w:rsid w:val="009645FC"/>
    <w:rsid w:val="009E38A0"/>
    <w:rsid w:val="00A04923"/>
    <w:rsid w:val="00A40A6C"/>
    <w:rsid w:val="00A43F26"/>
    <w:rsid w:val="00A90C31"/>
    <w:rsid w:val="00AD16D0"/>
    <w:rsid w:val="00AD687D"/>
    <w:rsid w:val="00AE4614"/>
    <w:rsid w:val="00AF08BA"/>
    <w:rsid w:val="00B1181D"/>
    <w:rsid w:val="00B340AD"/>
    <w:rsid w:val="00BA688D"/>
    <w:rsid w:val="00BC4173"/>
    <w:rsid w:val="00BE41FC"/>
    <w:rsid w:val="00C464A8"/>
    <w:rsid w:val="00C679F4"/>
    <w:rsid w:val="00C8053D"/>
    <w:rsid w:val="00CA6409"/>
    <w:rsid w:val="00CC48C0"/>
    <w:rsid w:val="00D33584"/>
    <w:rsid w:val="00D35DD8"/>
    <w:rsid w:val="00DA1F59"/>
    <w:rsid w:val="00E11DBD"/>
    <w:rsid w:val="00E125D6"/>
    <w:rsid w:val="00E34EE1"/>
    <w:rsid w:val="00E36F98"/>
    <w:rsid w:val="00E63867"/>
    <w:rsid w:val="00E85108"/>
    <w:rsid w:val="00ED1E1E"/>
    <w:rsid w:val="00F229C7"/>
    <w:rsid w:val="00F42EF6"/>
    <w:rsid w:val="00F431B7"/>
    <w:rsid w:val="00FA229C"/>
    <w:rsid w:val="00FB2974"/>
    <w:rsid w:val="00FC7D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1C"/>
    <w:pPr>
      <w:spacing w:after="0" w:line="240" w:lineRule="auto"/>
    </w:pPr>
    <w:rPr>
      <w:rFonts w:ascii="Times New Roman" w:hAnsi="Times New Roman" w:cs="Times New Roman"/>
      <w:sz w:val="24"/>
      <w:szCs w:val="24"/>
      <w:lang w:eastAsia="bg-BG"/>
    </w:rPr>
  </w:style>
  <w:style w:type="paragraph" w:styleId="2">
    <w:name w:val="heading 2"/>
    <w:basedOn w:val="a"/>
    <w:link w:val="20"/>
    <w:uiPriority w:val="9"/>
    <w:qFormat/>
    <w:rsid w:val="00CC48C0"/>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CC48C0"/>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8C0"/>
    <w:pPr>
      <w:spacing w:before="100" w:beforeAutospacing="1" w:after="100" w:afterAutospacing="1"/>
    </w:pPr>
    <w:rPr>
      <w:rFonts w:eastAsia="Times New Roman"/>
    </w:rPr>
  </w:style>
  <w:style w:type="character" w:styleId="a4">
    <w:name w:val="Hyperlink"/>
    <w:basedOn w:val="a0"/>
    <w:uiPriority w:val="99"/>
    <w:semiHidden/>
    <w:unhideWhenUsed/>
    <w:rsid w:val="00CC48C0"/>
    <w:rPr>
      <w:color w:val="0000FF"/>
      <w:u w:val="single"/>
    </w:rPr>
  </w:style>
  <w:style w:type="character" w:customStyle="1" w:styleId="20">
    <w:name w:val="Заглавие 2 Знак"/>
    <w:basedOn w:val="a0"/>
    <w:link w:val="2"/>
    <w:uiPriority w:val="9"/>
    <w:rsid w:val="00CC48C0"/>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CC48C0"/>
    <w:rPr>
      <w:rFonts w:ascii="Times New Roman" w:eastAsia="Times New Roman" w:hAnsi="Times New Roman" w:cs="Times New Roman"/>
      <w:b/>
      <w:bCs/>
      <w:sz w:val="27"/>
      <w:szCs w:val="27"/>
      <w:lang w:eastAsia="bg-BG"/>
    </w:rPr>
  </w:style>
  <w:style w:type="numbering" w:customStyle="1" w:styleId="1">
    <w:name w:val="Без списък1"/>
    <w:next w:val="a2"/>
    <w:uiPriority w:val="99"/>
    <w:semiHidden/>
    <w:unhideWhenUsed/>
    <w:rsid w:val="00CC48C0"/>
  </w:style>
  <w:style w:type="character" w:styleId="a5">
    <w:name w:val="FollowedHyperlink"/>
    <w:basedOn w:val="a0"/>
    <w:uiPriority w:val="99"/>
    <w:semiHidden/>
    <w:unhideWhenUsed/>
    <w:rsid w:val="00CC48C0"/>
    <w:rPr>
      <w:color w:val="800080"/>
      <w:u w:val="single"/>
    </w:rPr>
  </w:style>
  <w:style w:type="character" w:customStyle="1" w:styleId="mw-headline">
    <w:name w:val="mw-headline"/>
    <w:basedOn w:val="a0"/>
    <w:rsid w:val="00CC48C0"/>
  </w:style>
  <w:style w:type="character" w:customStyle="1" w:styleId="mw-editsection">
    <w:name w:val="mw-editsection"/>
    <w:basedOn w:val="a0"/>
    <w:rsid w:val="00CC48C0"/>
  </w:style>
  <w:style w:type="character" w:customStyle="1" w:styleId="mw-editsection-bracket">
    <w:name w:val="mw-editsection-bracket"/>
    <w:basedOn w:val="a0"/>
    <w:rsid w:val="00CC48C0"/>
  </w:style>
  <w:style w:type="character" w:customStyle="1" w:styleId="mw-editsection-divider">
    <w:name w:val="mw-editsection-divider"/>
    <w:basedOn w:val="a0"/>
    <w:rsid w:val="00CC48C0"/>
  </w:style>
  <w:style w:type="paragraph" w:styleId="a6">
    <w:name w:val="Balloon Text"/>
    <w:basedOn w:val="a"/>
    <w:link w:val="a7"/>
    <w:uiPriority w:val="99"/>
    <w:semiHidden/>
    <w:unhideWhenUsed/>
    <w:rsid w:val="00CC48C0"/>
    <w:rPr>
      <w:rFonts w:ascii="Tahoma" w:hAnsi="Tahoma" w:cs="Tahoma"/>
      <w:sz w:val="16"/>
      <w:szCs w:val="16"/>
    </w:rPr>
  </w:style>
  <w:style w:type="character" w:customStyle="1" w:styleId="a7">
    <w:name w:val="Изнесен текст Знак"/>
    <w:basedOn w:val="a0"/>
    <w:link w:val="a6"/>
    <w:uiPriority w:val="99"/>
    <w:semiHidden/>
    <w:rsid w:val="00CC48C0"/>
    <w:rPr>
      <w:rFonts w:ascii="Tahoma" w:hAnsi="Tahoma" w:cs="Tahoma"/>
      <w:sz w:val="16"/>
      <w:szCs w:val="16"/>
    </w:rPr>
  </w:style>
  <w:style w:type="character" w:styleId="a8">
    <w:name w:val="Strong"/>
    <w:basedOn w:val="a0"/>
    <w:uiPriority w:val="22"/>
    <w:qFormat/>
    <w:rsid w:val="00160D1C"/>
    <w:rPr>
      <w:b/>
      <w:bCs/>
    </w:rPr>
  </w:style>
  <w:style w:type="paragraph" w:customStyle="1" w:styleId="WW-BodyTextIndent2">
    <w:name w:val="WW-Body Text Indent 2"/>
    <w:basedOn w:val="a"/>
    <w:rsid w:val="00AD687D"/>
    <w:pPr>
      <w:suppressAutoHyphens/>
      <w:ind w:left="1134" w:hanging="708"/>
    </w:pPr>
    <w:rPr>
      <w:rFonts w:eastAsia="Times New Roman"/>
      <w:color w:val="000000"/>
      <w:szCs w:val="20"/>
    </w:rPr>
  </w:style>
  <w:style w:type="character" w:styleId="a9">
    <w:name w:val="annotation reference"/>
    <w:basedOn w:val="a0"/>
    <w:uiPriority w:val="99"/>
    <w:semiHidden/>
    <w:unhideWhenUsed/>
    <w:rsid w:val="00AD687D"/>
    <w:rPr>
      <w:sz w:val="16"/>
      <w:szCs w:val="16"/>
    </w:rPr>
  </w:style>
  <w:style w:type="paragraph" w:styleId="aa">
    <w:name w:val="annotation text"/>
    <w:basedOn w:val="a"/>
    <w:link w:val="ab"/>
    <w:uiPriority w:val="99"/>
    <w:semiHidden/>
    <w:unhideWhenUsed/>
    <w:rsid w:val="00AD687D"/>
    <w:rPr>
      <w:rFonts w:eastAsia="Times New Roman"/>
      <w:sz w:val="20"/>
      <w:szCs w:val="20"/>
    </w:rPr>
  </w:style>
  <w:style w:type="character" w:customStyle="1" w:styleId="ab">
    <w:name w:val="Текст на коментар Знак"/>
    <w:basedOn w:val="a0"/>
    <w:link w:val="aa"/>
    <w:uiPriority w:val="99"/>
    <w:semiHidden/>
    <w:rsid w:val="00AD687D"/>
    <w:rPr>
      <w:rFonts w:ascii="Times New Roman" w:eastAsia="Times New Roman" w:hAnsi="Times New Roman" w:cs="Times New Roman"/>
      <w:sz w:val="20"/>
      <w:szCs w:val="20"/>
      <w:lang w:eastAsia="bg-BG"/>
    </w:rPr>
  </w:style>
  <w:style w:type="character" w:customStyle="1" w:styleId="21">
    <w:name w:val="Основен текст (2)_"/>
    <w:basedOn w:val="a0"/>
    <w:link w:val="22"/>
    <w:rsid w:val="00B1181D"/>
    <w:rPr>
      <w:rFonts w:ascii="Times New Roman" w:eastAsia="Times New Roman" w:hAnsi="Times New Roman" w:cs="Times New Roman"/>
      <w:sz w:val="26"/>
      <w:szCs w:val="26"/>
      <w:shd w:val="clear" w:color="auto" w:fill="FFFFFF"/>
    </w:rPr>
  </w:style>
  <w:style w:type="character" w:customStyle="1" w:styleId="23">
    <w:name w:val="Основен текст (2) + Удебелен"/>
    <w:basedOn w:val="21"/>
    <w:rsid w:val="00B1181D"/>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22">
    <w:name w:val="Основен текст (2)"/>
    <w:basedOn w:val="a"/>
    <w:link w:val="21"/>
    <w:rsid w:val="00B1181D"/>
    <w:pPr>
      <w:widowControl w:val="0"/>
      <w:shd w:val="clear" w:color="auto" w:fill="FFFFFF"/>
      <w:spacing w:before="480" w:line="312" w:lineRule="exact"/>
      <w:ind w:hanging="360"/>
      <w:jc w:val="both"/>
    </w:pPr>
    <w:rPr>
      <w:rFonts w:eastAsia="Times New Roman"/>
      <w:sz w:val="26"/>
      <w:szCs w:val="26"/>
      <w:lang w:eastAsia="en-US"/>
    </w:rPr>
  </w:style>
  <w:style w:type="character" w:customStyle="1" w:styleId="31">
    <w:name w:val="Основен текст (3)_"/>
    <w:basedOn w:val="a0"/>
    <w:link w:val="32"/>
    <w:uiPriority w:val="99"/>
    <w:rsid w:val="000662BA"/>
    <w:rPr>
      <w:rFonts w:ascii="Times New Roman" w:eastAsia="Times New Roman" w:hAnsi="Times New Roman" w:cs="Times New Roman"/>
      <w:b/>
      <w:bCs/>
      <w:sz w:val="26"/>
      <w:szCs w:val="26"/>
      <w:shd w:val="clear" w:color="auto" w:fill="FFFFFF"/>
    </w:rPr>
  </w:style>
  <w:style w:type="paragraph" w:customStyle="1" w:styleId="32">
    <w:name w:val="Основен текст (3)"/>
    <w:basedOn w:val="a"/>
    <w:link w:val="31"/>
    <w:rsid w:val="000662BA"/>
    <w:pPr>
      <w:widowControl w:val="0"/>
      <w:shd w:val="clear" w:color="auto" w:fill="FFFFFF"/>
      <w:spacing w:after="480" w:line="312" w:lineRule="exact"/>
    </w:pPr>
    <w:rPr>
      <w:rFonts w:eastAsia="Times New Roman"/>
      <w:b/>
      <w:bCs/>
      <w:sz w:val="26"/>
      <w:szCs w:val="26"/>
      <w:lang w:eastAsia="en-US"/>
    </w:rPr>
  </w:style>
  <w:style w:type="character" w:customStyle="1" w:styleId="4">
    <w:name w:val="Заглавие #4"/>
    <w:basedOn w:val="a0"/>
    <w:rsid w:val="009229DE"/>
    <w:rPr>
      <w:rFonts w:ascii="Times New Roman" w:eastAsia="Times New Roman" w:hAnsi="Times New Roman" w:cs="Times New Roman"/>
      <w:b/>
      <w:bCs/>
      <w:i w:val="0"/>
      <w:iCs w:val="0"/>
      <w:smallCaps w:val="0"/>
      <w:strike w:val="0"/>
      <w:color w:val="000000"/>
      <w:spacing w:val="20"/>
      <w:w w:val="100"/>
      <w:position w:val="0"/>
      <w:sz w:val="28"/>
      <w:szCs w:val="28"/>
      <w:u w:val="none"/>
      <w:lang w:val="bg-BG" w:eastAsia="bg-BG" w:bidi="bg-BG"/>
    </w:rPr>
  </w:style>
  <w:style w:type="character" w:customStyle="1" w:styleId="40">
    <w:name w:val="Заглавие #4_"/>
    <w:basedOn w:val="a0"/>
    <w:rsid w:val="00255148"/>
    <w:rPr>
      <w:rFonts w:ascii="Times New Roman" w:eastAsia="Times New Roman" w:hAnsi="Times New Roman" w:cs="Times New Roman"/>
      <w:b/>
      <w:bCs/>
      <w:i w:val="0"/>
      <w:iCs w:val="0"/>
      <w:smallCaps w:val="0"/>
      <w:strike w:val="0"/>
      <w:spacing w:val="20"/>
      <w:sz w:val="28"/>
      <w:szCs w:val="28"/>
      <w:u w:val="none"/>
    </w:rPr>
  </w:style>
  <w:style w:type="paragraph" w:customStyle="1" w:styleId="310">
    <w:name w:val="Основен текст (3)1"/>
    <w:basedOn w:val="a"/>
    <w:uiPriority w:val="99"/>
    <w:rsid w:val="00A43F26"/>
    <w:pPr>
      <w:shd w:val="clear" w:color="auto" w:fill="FFFFFF"/>
      <w:spacing w:before="480" w:line="277" w:lineRule="exact"/>
      <w:ind w:hanging="360"/>
    </w:pPr>
    <w:rPr>
      <w:rFonts w:eastAsia="Times New Roman"/>
      <w:b/>
      <w:bCs/>
      <w:color w:val="000000"/>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1C"/>
    <w:pPr>
      <w:spacing w:after="0" w:line="240" w:lineRule="auto"/>
    </w:pPr>
    <w:rPr>
      <w:rFonts w:ascii="Times New Roman" w:hAnsi="Times New Roman" w:cs="Times New Roman"/>
      <w:sz w:val="24"/>
      <w:szCs w:val="24"/>
      <w:lang w:eastAsia="bg-BG"/>
    </w:rPr>
  </w:style>
  <w:style w:type="paragraph" w:styleId="2">
    <w:name w:val="heading 2"/>
    <w:basedOn w:val="a"/>
    <w:link w:val="20"/>
    <w:uiPriority w:val="9"/>
    <w:qFormat/>
    <w:rsid w:val="00CC48C0"/>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CC48C0"/>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8C0"/>
    <w:pPr>
      <w:spacing w:before="100" w:beforeAutospacing="1" w:after="100" w:afterAutospacing="1"/>
    </w:pPr>
    <w:rPr>
      <w:rFonts w:eastAsia="Times New Roman"/>
    </w:rPr>
  </w:style>
  <w:style w:type="character" w:styleId="a4">
    <w:name w:val="Hyperlink"/>
    <w:basedOn w:val="a0"/>
    <w:uiPriority w:val="99"/>
    <w:semiHidden/>
    <w:unhideWhenUsed/>
    <w:rsid w:val="00CC48C0"/>
    <w:rPr>
      <w:color w:val="0000FF"/>
      <w:u w:val="single"/>
    </w:rPr>
  </w:style>
  <w:style w:type="character" w:customStyle="1" w:styleId="20">
    <w:name w:val="Заглавие 2 Знак"/>
    <w:basedOn w:val="a0"/>
    <w:link w:val="2"/>
    <w:uiPriority w:val="9"/>
    <w:rsid w:val="00CC48C0"/>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CC48C0"/>
    <w:rPr>
      <w:rFonts w:ascii="Times New Roman" w:eastAsia="Times New Roman" w:hAnsi="Times New Roman" w:cs="Times New Roman"/>
      <w:b/>
      <w:bCs/>
      <w:sz w:val="27"/>
      <w:szCs w:val="27"/>
      <w:lang w:eastAsia="bg-BG"/>
    </w:rPr>
  </w:style>
  <w:style w:type="numbering" w:customStyle="1" w:styleId="1">
    <w:name w:val="Без списък1"/>
    <w:next w:val="a2"/>
    <w:uiPriority w:val="99"/>
    <w:semiHidden/>
    <w:unhideWhenUsed/>
    <w:rsid w:val="00CC48C0"/>
  </w:style>
  <w:style w:type="character" w:styleId="a5">
    <w:name w:val="FollowedHyperlink"/>
    <w:basedOn w:val="a0"/>
    <w:uiPriority w:val="99"/>
    <w:semiHidden/>
    <w:unhideWhenUsed/>
    <w:rsid w:val="00CC48C0"/>
    <w:rPr>
      <w:color w:val="800080"/>
      <w:u w:val="single"/>
    </w:rPr>
  </w:style>
  <w:style w:type="character" w:customStyle="1" w:styleId="mw-headline">
    <w:name w:val="mw-headline"/>
    <w:basedOn w:val="a0"/>
    <w:rsid w:val="00CC48C0"/>
  </w:style>
  <w:style w:type="character" w:customStyle="1" w:styleId="mw-editsection">
    <w:name w:val="mw-editsection"/>
    <w:basedOn w:val="a0"/>
    <w:rsid w:val="00CC48C0"/>
  </w:style>
  <w:style w:type="character" w:customStyle="1" w:styleId="mw-editsection-bracket">
    <w:name w:val="mw-editsection-bracket"/>
    <w:basedOn w:val="a0"/>
    <w:rsid w:val="00CC48C0"/>
  </w:style>
  <w:style w:type="character" w:customStyle="1" w:styleId="mw-editsection-divider">
    <w:name w:val="mw-editsection-divider"/>
    <w:basedOn w:val="a0"/>
    <w:rsid w:val="00CC48C0"/>
  </w:style>
  <w:style w:type="paragraph" w:styleId="a6">
    <w:name w:val="Balloon Text"/>
    <w:basedOn w:val="a"/>
    <w:link w:val="a7"/>
    <w:uiPriority w:val="99"/>
    <w:semiHidden/>
    <w:unhideWhenUsed/>
    <w:rsid w:val="00CC48C0"/>
    <w:rPr>
      <w:rFonts w:ascii="Tahoma" w:hAnsi="Tahoma" w:cs="Tahoma"/>
      <w:sz w:val="16"/>
      <w:szCs w:val="16"/>
    </w:rPr>
  </w:style>
  <w:style w:type="character" w:customStyle="1" w:styleId="a7">
    <w:name w:val="Изнесен текст Знак"/>
    <w:basedOn w:val="a0"/>
    <w:link w:val="a6"/>
    <w:uiPriority w:val="99"/>
    <w:semiHidden/>
    <w:rsid w:val="00CC48C0"/>
    <w:rPr>
      <w:rFonts w:ascii="Tahoma" w:hAnsi="Tahoma" w:cs="Tahoma"/>
      <w:sz w:val="16"/>
      <w:szCs w:val="16"/>
    </w:rPr>
  </w:style>
  <w:style w:type="character" w:styleId="a8">
    <w:name w:val="Strong"/>
    <w:basedOn w:val="a0"/>
    <w:uiPriority w:val="22"/>
    <w:qFormat/>
    <w:rsid w:val="00160D1C"/>
    <w:rPr>
      <w:b/>
      <w:bCs/>
    </w:rPr>
  </w:style>
  <w:style w:type="paragraph" w:customStyle="1" w:styleId="WW-BodyTextIndent2">
    <w:name w:val="WW-Body Text Indent 2"/>
    <w:basedOn w:val="a"/>
    <w:rsid w:val="00AD687D"/>
    <w:pPr>
      <w:suppressAutoHyphens/>
      <w:ind w:left="1134" w:hanging="708"/>
    </w:pPr>
    <w:rPr>
      <w:rFonts w:eastAsia="Times New Roman"/>
      <w:color w:val="000000"/>
      <w:szCs w:val="20"/>
    </w:rPr>
  </w:style>
  <w:style w:type="character" w:styleId="a9">
    <w:name w:val="annotation reference"/>
    <w:basedOn w:val="a0"/>
    <w:uiPriority w:val="99"/>
    <w:semiHidden/>
    <w:unhideWhenUsed/>
    <w:rsid w:val="00AD687D"/>
    <w:rPr>
      <w:sz w:val="16"/>
      <w:szCs w:val="16"/>
    </w:rPr>
  </w:style>
  <w:style w:type="paragraph" w:styleId="aa">
    <w:name w:val="annotation text"/>
    <w:basedOn w:val="a"/>
    <w:link w:val="ab"/>
    <w:uiPriority w:val="99"/>
    <w:semiHidden/>
    <w:unhideWhenUsed/>
    <w:rsid w:val="00AD687D"/>
    <w:rPr>
      <w:rFonts w:eastAsia="Times New Roman"/>
      <w:sz w:val="20"/>
      <w:szCs w:val="20"/>
    </w:rPr>
  </w:style>
  <w:style w:type="character" w:customStyle="1" w:styleId="ab">
    <w:name w:val="Текст на коментар Знак"/>
    <w:basedOn w:val="a0"/>
    <w:link w:val="aa"/>
    <w:uiPriority w:val="99"/>
    <w:semiHidden/>
    <w:rsid w:val="00AD687D"/>
    <w:rPr>
      <w:rFonts w:ascii="Times New Roman" w:eastAsia="Times New Roman" w:hAnsi="Times New Roman" w:cs="Times New Roman"/>
      <w:sz w:val="20"/>
      <w:szCs w:val="20"/>
      <w:lang w:eastAsia="bg-BG"/>
    </w:rPr>
  </w:style>
  <w:style w:type="character" w:customStyle="1" w:styleId="21">
    <w:name w:val="Основен текст (2)_"/>
    <w:basedOn w:val="a0"/>
    <w:link w:val="22"/>
    <w:rsid w:val="00B1181D"/>
    <w:rPr>
      <w:rFonts w:ascii="Times New Roman" w:eastAsia="Times New Roman" w:hAnsi="Times New Roman" w:cs="Times New Roman"/>
      <w:sz w:val="26"/>
      <w:szCs w:val="26"/>
      <w:shd w:val="clear" w:color="auto" w:fill="FFFFFF"/>
    </w:rPr>
  </w:style>
  <w:style w:type="character" w:customStyle="1" w:styleId="23">
    <w:name w:val="Основен текст (2) + Удебелен"/>
    <w:basedOn w:val="21"/>
    <w:rsid w:val="00B1181D"/>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22">
    <w:name w:val="Основен текст (2)"/>
    <w:basedOn w:val="a"/>
    <w:link w:val="21"/>
    <w:rsid w:val="00B1181D"/>
    <w:pPr>
      <w:widowControl w:val="0"/>
      <w:shd w:val="clear" w:color="auto" w:fill="FFFFFF"/>
      <w:spacing w:before="480" w:line="312" w:lineRule="exact"/>
      <w:ind w:hanging="360"/>
      <w:jc w:val="both"/>
    </w:pPr>
    <w:rPr>
      <w:rFonts w:eastAsia="Times New Roman"/>
      <w:sz w:val="26"/>
      <w:szCs w:val="26"/>
      <w:lang w:eastAsia="en-US"/>
    </w:rPr>
  </w:style>
  <w:style w:type="character" w:customStyle="1" w:styleId="31">
    <w:name w:val="Основен текст (3)_"/>
    <w:basedOn w:val="a0"/>
    <w:link w:val="32"/>
    <w:uiPriority w:val="99"/>
    <w:rsid w:val="000662BA"/>
    <w:rPr>
      <w:rFonts w:ascii="Times New Roman" w:eastAsia="Times New Roman" w:hAnsi="Times New Roman" w:cs="Times New Roman"/>
      <w:b/>
      <w:bCs/>
      <w:sz w:val="26"/>
      <w:szCs w:val="26"/>
      <w:shd w:val="clear" w:color="auto" w:fill="FFFFFF"/>
    </w:rPr>
  </w:style>
  <w:style w:type="paragraph" w:customStyle="1" w:styleId="32">
    <w:name w:val="Основен текст (3)"/>
    <w:basedOn w:val="a"/>
    <w:link w:val="31"/>
    <w:rsid w:val="000662BA"/>
    <w:pPr>
      <w:widowControl w:val="0"/>
      <w:shd w:val="clear" w:color="auto" w:fill="FFFFFF"/>
      <w:spacing w:after="480" w:line="312" w:lineRule="exact"/>
    </w:pPr>
    <w:rPr>
      <w:rFonts w:eastAsia="Times New Roman"/>
      <w:b/>
      <w:bCs/>
      <w:sz w:val="26"/>
      <w:szCs w:val="26"/>
      <w:lang w:eastAsia="en-US"/>
    </w:rPr>
  </w:style>
  <w:style w:type="character" w:customStyle="1" w:styleId="4">
    <w:name w:val="Заглавие #4"/>
    <w:basedOn w:val="a0"/>
    <w:rsid w:val="009229DE"/>
    <w:rPr>
      <w:rFonts w:ascii="Times New Roman" w:eastAsia="Times New Roman" w:hAnsi="Times New Roman" w:cs="Times New Roman"/>
      <w:b/>
      <w:bCs/>
      <w:i w:val="0"/>
      <w:iCs w:val="0"/>
      <w:smallCaps w:val="0"/>
      <w:strike w:val="0"/>
      <w:color w:val="000000"/>
      <w:spacing w:val="20"/>
      <w:w w:val="100"/>
      <w:position w:val="0"/>
      <w:sz w:val="28"/>
      <w:szCs w:val="28"/>
      <w:u w:val="none"/>
      <w:lang w:val="bg-BG" w:eastAsia="bg-BG" w:bidi="bg-BG"/>
    </w:rPr>
  </w:style>
  <w:style w:type="character" w:customStyle="1" w:styleId="40">
    <w:name w:val="Заглавие #4_"/>
    <w:basedOn w:val="a0"/>
    <w:rsid w:val="00255148"/>
    <w:rPr>
      <w:rFonts w:ascii="Times New Roman" w:eastAsia="Times New Roman" w:hAnsi="Times New Roman" w:cs="Times New Roman"/>
      <w:b/>
      <w:bCs/>
      <w:i w:val="0"/>
      <w:iCs w:val="0"/>
      <w:smallCaps w:val="0"/>
      <w:strike w:val="0"/>
      <w:spacing w:val="20"/>
      <w:sz w:val="28"/>
      <w:szCs w:val="28"/>
      <w:u w:val="none"/>
    </w:rPr>
  </w:style>
  <w:style w:type="paragraph" w:customStyle="1" w:styleId="310">
    <w:name w:val="Основен текст (3)1"/>
    <w:basedOn w:val="a"/>
    <w:uiPriority w:val="99"/>
    <w:rsid w:val="00A43F26"/>
    <w:pPr>
      <w:shd w:val="clear" w:color="auto" w:fill="FFFFFF"/>
      <w:spacing w:before="480" w:line="277" w:lineRule="exact"/>
      <w:ind w:hanging="360"/>
    </w:pPr>
    <w:rPr>
      <w:rFonts w:eastAsia="Times New Roman"/>
      <w:b/>
      <w:bCs/>
      <w:color w:val="00000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7010">
      <w:bodyDiv w:val="1"/>
      <w:marLeft w:val="0"/>
      <w:marRight w:val="0"/>
      <w:marTop w:val="0"/>
      <w:marBottom w:val="0"/>
      <w:divBdr>
        <w:top w:val="none" w:sz="0" w:space="0" w:color="auto"/>
        <w:left w:val="none" w:sz="0" w:space="0" w:color="auto"/>
        <w:bottom w:val="none" w:sz="0" w:space="0" w:color="auto"/>
        <w:right w:val="none" w:sz="0" w:space="0" w:color="auto"/>
      </w:divBdr>
    </w:div>
    <w:div w:id="311446539">
      <w:bodyDiv w:val="1"/>
      <w:marLeft w:val="0"/>
      <w:marRight w:val="0"/>
      <w:marTop w:val="0"/>
      <w:marBottom w:val="0"/>
      <w:divBdr>
        <w:top w:val="none" w:sz="0" w:space="0" w:color="auto"/>
        <w:left w:val="none" w:sz="0" w:space="0" w:color="auto"/>
        <w:bottom w:val="none" w:sz="0" w:space="0" w:color="auto"/>
        <w:right w:val="none" w:sz="0" w:space="0" w:color="auto"/>
      </w:divBdr>
      <w:divsChild>
        <w:div w:id="1039277048">
          <w:marLeft w:val="0"/>
          <w:marRight w:val="0"/>
          <w:marTop w:val="0"/>
          <w:marBottom w:val="0"/>
          <w:divBdr>
            <w:top w:val="none" w:sz="0" w:space="0" w:color="auto"/>
            <w:left w:val="none" w:sz="0" w:space="0" w:color="auto"/>
            <w:bottom w:val="none" w:sz="0" w:space="0" w:color="auto"/>
            <w:right w:val="none" w:sz="0" w:space="0" w:color="auto"/>
          </w:divBdr>
          <w:divsChild>
            <w:div w:id="1032074495">
              <w:marLeft w:val="0"/>
              <w:marRight w:val="0"/>
              <w:marTop w:val="0"/>
              <w:marBottom w:val="0"/>
              <w:divBdr>
                <w:top w:val="none" w:sz="0" w:space="0" w:color="auto"/>
                <w:left w:val="none" w:sz="0" w:space="0" w:color="auto"/>
                <w:bottom w:val="none" w:sz="0" w:space="0" w:color="auto"/>
                <w:right w:val="none" w:sz="0" w:space="0" w:color="auto"/>
              </w:divBdr>
              <w:divsChild>
                <w:div w:id="2023117541">
                  <w:marLeft w:val="0"/>
                  <w:marRight w:val="0"/>
                  <w:marTop w:val="0"/>
                  <w:marBottom w:val="0"/>
                  <w:divBdr>
                    <w:top w:val="none" w:sz="0" w:space="0" w:color="auto"/>
                    <w:left w:val="none" w:sz="0" w:space="0" w:color="auto"/>
                    <w:bottom w:val="none" w:sz="0" w:space="0" w:color="auto"/>
                    <w:right w:val="none" w:sz="0" w:space="0" w:color="auto"/>
                  </w:divBdr>
                  <w:divsChild>
                    <w:div w:id="50085632">
                      <w:marLeft w:val="0"/>
                      <w:marRight w:val="0"/>
                      <w:marTop w:val="0"/>
                      <w:marBottom w:val="0"/>
                      <w:divBdr>
                        <w:top w:val="none" w:sz="0" w:space="0" w:color="auto"/>
                        <w:left w:val="none" w:sz="0" w:space="0" w:color="auto"/>
                        <w:bottom w:val="none" w:sz="0" w:space="0" w:color="auto"/>
                        <w:right w:val="none" w:sz="0" w:space="0" w:color="auto"/>
                      </w:divBdr>
                      <w:divsChild>
                        <w:div w:id="521748464">
                          <w:marLeft w:val="0"/>
                          <w:marRight w:val="0"/>
                          <w:marTop w:val="0"/>
                          <w:marBottom w:val="0"/>
                          <w:divBdr>
                            <w:top w:val="none" w:sz="0" w:space="0" w:color="auto"/>
                            <w:left w:val="none" w:sz="0" w:space="0" w:color="auto"/>
                            <w:bottom w:val="none" w:sz="0" w:space="0" w:color="auto"/>
                            <w:right w:val="none" w:sz="0" w:space="0" w:color="auto"/>
                          </w:divBdr>
                          <w:divsChild>
                            <w:div w:id="1864435907">
                              <w:marLeft w:val="0"/>
                              <w:marRight w:val="0"/>
                              <w:marTop w:val="0"/>
                              <w:marBottom w:val="0"/>
                              <w:divBdr>
                                <w:top w:val="none" w:sz="0" w:space="0" w:color="auto"/>
                                <w:left w:val="none" w:sz="0" w:space="0" w:color="auto"/>
                                <w:bottom w:val="none" w:sz="0" w:space="0" w:color="auto"/>
                                <w:right w:val="none" w:sz="0" w:space="0" w:color="auto"/>
                              </w:divBdr>
                              <w:divsChild>
                                <w:div w:id="868838600">
                                  <w:marLeft w:val="0"/>
                                  <w:marRight w:val="0"/>
                                  <w:marTop w:val="0"/>
                                  <w:marBottom w:val="0"/>
                                  <w:divBdr>
                                    <w:top w:val="none" w:sz="0" w:space="0" w:color="auto"/>
                                    <w:left w:val="none" w:sz="0" w:space="0" w:color="auto"/>
                                    <w:bottom w:val="none" w:sz="0" w:space="0" w:color="auto"/>
                                    <w:right w:val="none" w:sz="0" w:space="0" w:color="auto"/>
                                  </w:divBdr>
                                  <w:divsChild>
                                    <w:div w:id="350956368">
                                      <w:marLeft w:val="0"/>
                                      <w:marRight w:val="0"/>
                                      <w:marTop w:val="0"/>
                                      <w:marBottom w:val="0"/>
                                      <w:divBdr>
                                        <w:top w:val="none" w:sz="0" w:space="0" w:color="auto"/>
                                        <w:left w:val="none" w:sz="0" w:space="0" w:color="auto"/>
                                        <w:bottom w:val="none" w:sz="0" w:space="0" w:color="auto"/>
                                        <w:right w:val="none" w:sz="0" w:space="0" w:color="auto"/>
                                      </w:divBdr>
                                      <w:divsChild>
                                        <w:div w:id="39090158">
                                          <w:marLeft w:val="0"/>
                                          <w:marRight w:val="0"/>
                                          <w:marTop w:val="0"/>
                                          <w:marBottom w:val="0"/>
                                          <w:divBdr>
                                            <w:top w:val="none" w:sz="0" w:space="0" w:color="auto"/>
                                            <w:left w:val="none" w:sz="0" w:space="0" w:color="auto"/>
                                            <w:bottom w:val="none" w:sz="0" w:space="0" w:color="auto"/>
                                            <w:right w:val="none" w:sz="0" w:space="0" w:color="auto"/>
                                          </w:divBdr>
                                          <w:divsChild>
                                            <w:div w:id="1088960916">
                                              <w:marLeft w:val="0"/>
                                              <w:marRight w:val="0"/>
                                              <w:marTop w:val="0"/>
                                              <w:marBottom w:val="0"/>
                                              <w:divBdr>
                                                <w:top w:val="none" w:sz="0" w:space="0" w:color="auto"/>
                                                <w:left w:val="none" w:sz="0" w:space="0" w:color="auto"/>
                                                <w:bottom w:val="none" w:sz="0" w:space="0" w:color="auto"/>
                                                <w:right w:val="none" w:sz="0" w:space="0" w:color="auto"/>
                                              </w:divBdr>
                                              <w:divsChild>
                                                <w:div w:id="717626542">
                                                  <w:marLeft w:val="0"/>
                                                  <w:marRight w:val="0"/>
                                                  <w:marTop w:val="0"/>
                                                  <w:marBottom w:val="0"/>
                                                  <w:divBdr>
                                                    <w:top w:val="none" w:sz="0" w:space="0" w:color="auto"/>
                                                    <w:left w:val="none" w:sz="0" w:space="0" w:color="auto"/>
                                                    <w:bottom w:val="none" w:sz="0" w:space="0" w:color="auto"/>
                                                    <w:right w:val="none" w:sz="0" w:space="0" w:color="auto"/>
                                                  </w:divBdr>
                                                  <w:divsChild>
                                                    <w:div w:id="882715772">
                                                      <w:marLeft w:val="0"/>
                                                      <w:marRight w:val="0"/>
                                                      <w:marTop w:val="0"/>
                                                      <w:marBottom w:val="0"/>
                                                      <w:divBdr>
                                                        <w:top w:val="none" w:sz="0" w:space="0" w:color="auto"/>
                                                        <w:left w:val="none" w:sz="0" w:space="0" w:color="auto"/>
                                                        <w:bottom w:val="none" w:sz="0" w:space="0" w:color="auto"/>
                                                        <w:right w:val="none" w:sz="0" w:space="0" w:color="auto"/>
                                                      </w:divBdr>
                                                      <w:divsChild>
                                                        <w:div w:id="2075857065">
                                                          <w:marLeft w:val="0"/>
                                                          <w:marRight w:val="0"/>
                                                          <w:marTop w:val="0"/>
                                                          <w:marBottom w:val="0"/>
                                                          <w:divBdr>
                                                            <w:top w:val="none" w:sz="0" w:space="0" w:color="auto"/>
                                                            <w:left w:val="none" w:sz="0" w:space="0" w:color="auto"/>
                                                            <w:bottom w:val="none" w:sz="0" w:space="0" w:color="auto"/>
                                                            <w:right w:val="none" w:sz="0" w:space="0" w:color="auto"/>
                                                          </w:divBdr>
                                                          <w:divsChild>
                                                            <w:div w:id="314799082">
                                                              <w:marLeft w:val="0"/>
                                                              <w:marRight w:val="0"/>
                                                              <w:marTop w:val="0"/>
                                                              <w:marBottom w:val="0"/>
                                                              <w:divBdr>
                                                                <w:top w:val="none" w:sz="0" w:space="0" w:color="auto"/>
                                                                <w:left w:val="none" w:sz="0" w:space="0" w:color="auto"/>
                                                                <w:bottom w:val="none" w:sz="0" w:space="0" w:color="auto"/>
                                                                <w:right w:val="none" w:sz="0" w:space="0" w:color="auto"/>
                                                              </w:divBdr>
                                                              <w:divsChild>
                                                                <w:div w:id="20537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232509">
      <w:bodyDiv w:val="1"/>
      <w:marLeft w:val="0"/>
      <w:marRight w:val="0"/>
      <w:marTop w:val="0"/>
      <w:marBottom w:val="0"/>
      <w:divBdr>
        <w:top w:val="none" w:sz="0" w:space="0" w:color="auto"/>
        <w:left w:val="none" w:sz="0" w:space="0" w:color="auto"/>
        <w:bottom w:val="none" w:sz="0" w:space="0" w:color="auto"/>
        <w:right w:val="none" w:sz="0" w:space="0" w:color="auto"/>
      </w:divBdr>
      <w:divsChild>
        <w:div w:id="1629581000">
          <w:marLeft w:val="0"/>
          <w:marRight w:val="0"/>
          <w:marTop w:val="0"/>
          <w:marBottom w:val="0"/>
          <w:divBdr>
            <w:top w:val="none" w:sz="0" w:space="0" w:color="auto"/>
            <w:left w:val="none" w:sz="0" w:space="0" w:color="auto"/>
            <w:bottom w:val="none" w:sz="0" w:space="0" w:color="auto"/>
            <w:right w:val="none" w:sz="0" w:space="0" w:color="auto"/>
          </w:divBdr>
          <w:divsChild>
            <w:div w:id="1188525246">
              <w:marLeft w:val="0"/>
              <w:marRight w:val="0"/>
              <w:marTop w:val="0"/>
              <w:marBottom w:val="0"/>
              <w:divBdr>
                <w:top w:val="none" w:sz="0" w:space="0" w:color="auto"/>
                <w:left w:val="none" w:sz="0" w:space="0" w:color="auto"/>
                <w:bottom w:val="none" w:sz="0" w:space="0" w:color="auto"/>
                <w:right w:val="none" w:sz="0" w:space="0" w:color="auto"/>
              </w:divBdr>
            </w:div>
            <w:div w:id="1170606085">
              <w:marLeft w:val="0"/>
              <w:marRight w:val="0"/>
              <w:marTop w:val="0"/>
              <w:marBottom w:val="0"/>
              <w:divBdr>
                <w:top w:val="none" w:sz="0" w:space="0" w:color="auto"/>
                <w:left w:val="none" w:sz="0" w:space="0" w:color="auto"/>
                <w:bottom w:val="none" w:sz="0" w:space="0" w:color="auto"/>
                <w:right w:val="none" w:sz="0" w:space="0" w:color="auto"/>
              </w:divBdr>
            </w:div>
            <w:div w:id="967978007">
              <w:marLeft w:val="0"/>
              <w:marRight w:val="0"/>
              <w:marTop w:val="0"/>
              <w:marBottom w:val="0"/>
              <w:divBdr>
                <w:top w:val="none" w:sz="0" w:space="0" w:color="auto"/>
                <w:left w:val="none" w:sz="0" w:space="0" w:color="auto"/>
                <w:bottom w:val="none" w:sz="0" w:space="0" w:color="auto"/>
                <w:right w:val="none" w:sz="0" w:space="0" w:color="auto"/>
              </w:divBdr>
            </w:div>
            <w:div w:id="314455040">
              <w:marLeft w:val="0"/>
              <w:marRight w:val="0"/>
              <w:marTop w:val="0"/>
              <w:marBottom w:val="0"/>
              <w:divBdr>
                <w:top w:val="none" w:sz="0" w:space="0" w:color="auto"/>
                <w:left w:val="none" w:sz="0" w:space="0" w:color="auto"/>
                <w:bottom w:val="none" w:sz="0" w:space="0" w:color="auto"/>
                <w:right w:val="none" w:sz="0" w:space="0" w:color="auto"/>
              </w:divBdr>
            </w:div>
            <w:div w:id="223806058">
              <w:marLeft w:val="0"/>
              <w:marRight w:val="0"/>
              <w:marTop w:val="0"/>
              <w:marBottom w:val="0"/>
              <w:divBdr>
                <w:top w:val="none" w:sz="0" w:space="0" w:color="auto"/>
                <w:left w:val="none" w:sz="0" w:space="0" w:color="auto"/>
                <w:bottom w:val="none" w:sz="0" w:space="0" w:color="auto"/>
                <w:right w:val="none" w:sz="0" w:space="0" w:color="auto"/>
              </w:divBdr>
            </w:div>
            <w:div w:id="863401124">
              <w:marLeft w:val="0"/>
              <w:marRight w:val="0"/>
              <w:marTop w:val="0"/>
              <w:marBottom w:val="0"/>
              <w:divBdr>
                <w:top w:val="none" w:sz="0" w:space="0" w:color="auto"/>
                <w:left w:val="none" w:sz="0" w:space="0" w:color="auto"/>
                <w:bottom w:val="none" w:sz="0" w:space="0" w:color="auto"/>
                <w:right w:val="none" w:sz="0" w:space="0" w:color="auto"/>
              </w:divBdr>
            </w:div>
            <w:div w:id="1353918164">
              <w:marLeft w:val="0"/>
              <w:marRight w:val="0"/>
              <w:marTop w:val="0"/>
              <w:marBottom w:val="0"/>
              <w:divBdr>
                <w:top w:val="none" w:sz="0" w:space="0" w:color="auto"/>
                <w:left w:val="none" w:sz="0" w:space="0" w:color="auto"/>
                <w:bottom w:val="none" w:sz="0" w:space="0" w:color="auto"/>
                <w:right w:val="none" w:sz="0" w:space="0" w:color="auto"/>
              </w:divBdr>
            </w:div>
            <w:div w:id="883177567">
              <w:marLeft w:val="0"/>
              <w:marRight w:val="0"/>
              <w:marTop w:val="0"/>
              <w:marBottom w:val="0"/>
              <w:divBdr>
                <w:top w:val="none" w:sz="0" w:space="0" w:color="auto"/>
                <w:left w:val="none" w:sz="0" w:space="0" w:color="auto"/>
                <w:bottom w:val="none" w:sz="0" w:space="0" w:color="auto"/>
                <w:right w:val="none" w:sz="0" w:space="0" w:color="auto"/>
              </w:divBdr>
            </w:div>
            <w:div w:id="759107856">
              <w:marLeft w:val="0"/>
              <w:marRight w:val="0"/>
              <w:marTop w:val="0"/>
              <w:marBottom w:val="0"/>
              <w:divBdr>
                <w:top w:val="none" w:sz="0" w:space="0" w:color="auto"/>
                <w:left w:val="none" w:sz="0" w:space="0" w:color="auto"/>
                <w:bottom w:val="none" w:sz="0" w:space="0" w:color="auto"/>
                <w:right w:val="none" w:sz="0" w:space="0" w:color="auto"/>
              </w:divBdr>
            </w:div>
            <w:div w:id="620038493">
              <w:marLeft w:val="0"/>
              <w:marRight w:val="0"/>
              <w:marTop w:val="0"/>
              <w:marBottom w:val="0"/>
              <w:divBdr>
                <w:top w:val="none" w:sz="0" w:space="0" w:color="auto"/>
                <w:left w:val="none" w:sz="0" w:space="0" w:color="auto"/>
                <w:bottom w:val="none" w:sz="0" w:space="0" w:color="auto"/>
                <w:right w:val="none" w:sz="0" w:space="0" w:color="auto"/>
              </w:divBdr>
            </w:div>
            <w:div w:id="1126124933">
              <w:marLeft w:val="0"/>
              <w:marRight w:val="0"/>
              <w:marTop w:val="0"/>
              <w:marBottom w:val="0"/>
              <w:divBdr>
                <w:top w:val="none" w:sz="0" w:space="0" w:color="auto"/>
                <w:left w:val="none" w:sz="0" w:space="0" w:color="auto"/>
                <w:bottom w:val="none" w:sz="0" w:space="0" w:color="auto"/>
                <w:right w:val="none" w:sz="0" w:space="0" w:color="auto"/>
              </w:divBdr>
            </w:div>
            <w:div w:id="3060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9830">
      <w:bodyDiv w:val="1"/>
      <w:marLeft w:val="0"/>
      <w:marRight w:val="0"/>
      <w:marTop w:val="0"/>
      <w:marBottom w:val="0"/>
      <w:divBdr>
        <w:top w:val="none" w:sz="0" w:space="0" w:color="auto"/>
        <w:left w:val="none" w:sz="0" w:space="0" w:color="auto"/>
        <w:bottom w:val="none" w:sz="0" w:space="0" w:color="auto"/>
        <w:right w:val="none" w:sz="0" w:space="0" w:color="auto"/>
      </w:divBdr>
      <w:divsChild>
        <w:div w:id="475991739">
          <w:marLeft w:val="0"/>
          <w:marRight w:val="0"/>
          <w:marTop w:val="0"/>
          <w:marBottom w:val="0"/>
          <w:divBdr>
            <w:top w:val="none" w:sz="0" w:space="0" w:color="auto"/>
            <w:left w:val="none" w:sz="0" w:space="0" w:color="auto"/>
            <w:bottom w:val="none" w:sz="0" w:space="0" w:color="auto"/>
            <w:right w:val="none" w:sz="0" w:space="0" w:color="auto"/>
          </w:divBdr>
        </w:div>
        <w:div w:id="1549875175">
          <w:marLeft w:val="336"/>
          <w:marRight w:val="0"/>
          <w:marTop w:val="120"/>
          <w:marBottom w:val="312"/>
          <w:divBdr>
            <w:top w:val="none" w:sz="0" w:space="0" w:color="auto"/>
            <w:left w:val="none" w:sz="0" w:space="0" w:color="auto"/>
            <w:bottom w:val="none" w:sz="0" w:space="0" w:color="auto"/>
            <w:right w:val="none" w:sz="0" w:space="0" w:color="auto"/>
          </w:divBdr>
          <w:divsChild>
            <w:div w:id="403720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8562032">
          <w:marLeft w:val="0"/>
          <w:marRight w:val="0"/>
          <w:marTop w:val="0"/>
          <w:marBottom w:val="0"/>
          <w:divBdr>
            <w:top w:val="none" w:sz="0" w:space="0" w:color="auto"/>
            <w:left w:val="none" w:sz="0" w:space="0" w:color="auto"/>
            <w:bottom w:val="none" w:sz="0" w:space="0" w:color="auto"/>
            <w:right w:val="none" w:sz="0" w:space="0" w:color="auto"/>
          </w:divBdr>
        </w:div>
      </w:divsChild>
    </w:div>
    <w:div w:id="1093551937">
      <w:bodyDiv w:val="1"/>
      <w:marLeft w:val="0"/>
      <w:marRight w:val="0"/>
      <w:marTop w:val="0"/>
      <w:marBottom w:val="0"/>
      <w:divBdr>
        <w:top w:val="none" w:sz="0" w:space="0" w:color="auto"/>
        <w:left w:val="none" w:sz="0" w:space="0" w:color="auto"/>
        <w:bottom w:val="none" w:sz="0" w:space="0" w:color="auto"/>
        <w:right w:val="none" w:sz="0" w:space="0" w:color="auto"/>
      </w:divBdr>
    </w:div>
    <w:div w:id="1100101133">
      <w:bodyDiv w:val="1"/>
      <w:marLeft w:val="0"/>
      <w:marRight w:val="0"/>
      <w:marTop w:val="0"/>
      <w:marBottom w:val="0"/>
      <w:divBdr>
        <w:top w:val="none" w:sz="0" w:space="0" w:color="auto"/>
        <w:left w:val="none" w:sz="0" w:space="0" w:color="auto"/>
        <w:bottom w:val="none" w:sz="0" w:space="0" w:color="auto"/>
        <w:right w:val="none" w:sz="0" w:space="0" w:color="auto"/>
      </w:divBdr>
    </w:div>
    <w:div w:id="1381981811">
      <w:bodyDiv w:val="1"/>
      <w:marLeft w:val="0"/>
      <w:marRight w:val="0"/>
      <w:marTop w:val="0"/>
      <w:marBottom w:val="0"/>
      <w:divBdr>
        <w:top w:val="none" w:sz="0" w:space="0" w:color="auto"/>
        <w:left w:val="none" w:sz="0" w:space="0" w:color="auto"/>
        <w:bottom w:val="none" w:sz="0" w:space="0" w:color="auto"/>
        <w:right w:val="none" w:sz="0" w:space="0" w:color="auto"/>
      </w:divBdr>
      <w:divsChild>
        <w:div w:id="89131204">
          <w:marLeft w:val="336"/>
          <w:marRight w:val="0"/>
          <w:marTop w:val="120"/>
          <w:marBottom w:val="312"/>
          <w:divBdr>
            <w:top w:val="none" w:sz="0" w:space="0" w:color="auto"/>
            <w:left w:val="none" w:sz="0" w:space="0" w:color="auto"/>
            <w:bottom w:val="none" w:sz="0" w:space="0" w:color="auto"/>
            <w:right w:val="none" w:sz="0" w:space="0" w:color="auto"/>
          </w:divBdr>
          <w:divsChild>
            <w:div w:id="958754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0881585">
      <w:bodyDiv w:val="1"/>
      <w:marLeft w:val="0"/>
      <w:marRight w:val="0"/>
      <w:marTop w:val="0"/>
      <w:marBottom w:val="0"/>
      <w:divBdr>
        <w:top w:val="none" w:sz="0" w:space="0" w:color="auto"/>
        <w:left w:val="none" w:sz="0" w:space="0" w:color="auto"/>
        <w:bottom w:val="none" w:sz="0" w:space="0" w:color="auto"/>
        <w:right w:val="none" w:sz="0" w:space="0" w:color="auto"/>
      </w:divBdr>
    </w:div>
    <w:div w:id="2094204573">
      <w:bodyDiv w:val="1"/>
      <w:marLeft w:val="0"/>
      <w:marRight w:val="0"/>
      <w:marTop w:val="0"/>
      <w:marBottom w:val="0"/>
      <w:divBdr>
        <w:top w:val="none" w:sz="0" w:space="0" w:color="auto"/>
        <w:left w:val="none" w:sz="0" w:space="0" w:color="auto"/>
        <w:bottom w:val="none" w:sz="0" w:space="0" w:color="auto"/>
        <w:right w:val="none" w:sz="0" w:space="0" w:color="auto"/>
      </w:divBdr>
      <w:divsChild>
        <w:div w:id="782967440">
          <w:marLeft w:val="0"/>
          <w:marRight w:val="0"/>
          <w:marTop w:val="0"/>
          <w:marBottom w:val="0"/>
          <w:divBdr>
            <w:top w:val="none" w:sz="0" w:space="0" w:color="auto"/>
            <w:left w:val="none" w:sz="0" w:space="0" w:color="auto"/>
            <w:bottom w:val="none" w:sz="0" w:space="0" w:color="auto"/>
            <w:right w:val="none" w:sz="0" w:space="0" w:color="auto"/>
          </w:divBdr>
          <w:divsChild>
            <w:div w:id="117144145">
              <w:marLeft w:val="0"/>
              <w:marRight w:val="0"/>
              <w:marTop w:val="0"/>
              <w:marBottom w:val="0"/>
              <w:divBdr>
                <w:top w:val="none" w:sz="0" w:space="0" w:color="auto"/>
                <w:left w:val="none" w:sz="0" w:space="0" w:color="auto"/>
                <w:bottom w:val="none" w:sz="0" w:space="0" w:color="auto"/>
                <w:right w:val="none" w:sz="0" w:space="0" w:color="auto"/>
              </w:divBdr>
              <w:divsChild>
                <w:div w:id="403576900">
                  <w:marLeft w:val="0"/>
                  <w:marRight w:val="0"/>
                  <w:marTop w:val="0"/>
                  <w:marBottom w:val="0"/>
                  <w:divBdr>
                    <w:top w:val="none" w:sz="0" w:space="0" w:color="auto"/>
                    <w:left w:val="none" w:sz="0" w:space="0" w:color="auto"/>
                    <w:bottom w:val="none" w:sz="0" w:space="0" w:color="auto"/>
                    <w:right w:val="none" w:sz="0" w:space="0" w:color="auto"/>
                  </w:divBdr>
                  <w:divsChild>
                    <w:div w:id="1900238651">
                      <w:marLeft w:val="0"/>
                      <w:marRight w:val="0"/>
                      <w:marTop w:val="0"/>
                      <w:marBottom w:val="0"/>
                      <w:divBdr>
                        <w:top w:val="none" w:sz="0" w:space="0" w:color="auto"/>
                        <w:left w:val="none" w:sz="0" w:space="0" w:color="auto"/>
                        <w:bottom w:val="none" w:sz="0" w:space="0" w:color="auto"/>
                        <w:right w:val="none" w:sz="0" w:space="0" w:color="auto"/>
                      </w:divBdr>
                      <w:divsChild>
                        <w:div w:id="1052266151">
                          <w:marLeft w:val="0"/>
                          <w:marRight w:val="0"/>
                          <w:marTop w:val="0"/>
                          <w:marBottom w:val="0"/>
                          <w:divBdr>
                            <w:top w:val="none" w:sz="0" w:space="0" w:color="auto"/>
                            <w:left w:val="none" w:sz="0" w:space="0" w:color="auto"/>
                            <w:bottom w:val="none" w:sz="0" w:space="0" w:color="auto"/>
                            <w:right w:val="none" w:sz="0" w:space="0" w:color="auto"/>
                          </w:divBdr>
                          <w:divsChild>
                            <w:div w:id="1508324878">
                              <w:marLeft w:val="0"/>
                              <w:marRight w:val="0"/>
                              <w:marTop w:val="0"/>
                              <w:marBottom w:val="0"/>
                              <w:divBdr>
                                <w:top w:val="none" w:sz="0" w:space="0" w:color="auto"/>
                                <w:left w:val="none" w:sz="0" w:space="0" w:color="auto"/>
                                <w:bottom w:val="none" w:sz="0" w:space="0" w:color="auto"/>
                                <w:right w:val="none" w:sz="0" w:space="0" w:color="auto"/>
                              </w:divBdr>
                              <w:divsChild>
                                <w:div w:id="197936419">
                                  <w:marLeft w:val="0"/>
                                  <w:marRight w:val="0"/>
                                  <w:marTop w:val="0"/>
                                  <w:marBottom w:val="0"/>
                                  <w:divBdr>
                                    <w:top w:val="none" w:sz="0" w:space="0" w:color="auto"/>
                                    <w:left w:val="none" w:sz="0" w:space="0" w:color="auto"/>
                                    <w:bottom w:val="none" w:sz="0" w:space="0" w:color="auto"/>
                                    <w:right w:val="none" w:sz="0" w:space="0" w:color="auto"/>
                                  </w:divBdr>
                                  <w:divsChild>
                                    <w:div w:id="20521209">
                                      <w:marLeft w:val="0"/>
                                      <w:marRight w:val="0"/>
                                      <w:marTop w:val="0"/>
                                      <w:marBottom w:val="0"/>
                                      <w:divBdr>
                                        <w:top w:val="none" w:sz="0" w:space="0" w:color="auto"/>
                                        <w:left w:val="none" w:sz="0" w:space="0" w:color="auto"/>
                                        <w:bottom w:val="none" w:sz="0" w:space="0" w:color="auto"/>
                                        <w:right w:val="none" w:sz="0" w:space="0" w:color="auto"/>
                                      </w:divBdr>
                                      <w:divsChild>
                                        <w:div w:id="592976421">
                                          <w:marLeft w:val="0"/>
                                          <w:marRight w:val="0"/>
                                          <w:marTop w:val="0"/>
                                          <w:marBottom w:val="0"/>
                                          <w:divBdr>
                                            <w:top w:val="none" w:sz="0" w:space="0" w:color="auto"/>
                                            <w:left w:val="none" w:sz="0" w:space="0" w:color="auto"/>
                                            <w:bottom w:val="none" w:sz="0" w:space="0" w:color="auto"/>
                                            <w:right w:val="none" w:sz="0" w:space="0" w:color="auto"/>
                                          </w:divBdr>
                                          <w:divsChild>
                                            <w:div w:id="1158306817">
                                              <w:marLeft w:val="0"/>
                                              <w:marRight w:val="0"/>
                                              <w:marTop w:val="0"/>
                                              <w:marBottom w:val="0"/>
                                              <w:divBdr>
                                                <w:top w:val="none" w:sz="0" w:space="0" w:color="auto"/>
                                                <w:left w:val="none" w:sz="0" w:space="0" w:color="auto"/>
                                                <w:bottom w:val="none" w:sz="0" w:space="0" w:color="auto"/>
                                                <w:right w:val="none" w:sz="0" w:space="0" w:color="auto"/>
                                              </w:divBdr>
                                              <w:divsChild>
                                                <w:div w:id="1852376760">
                                                  <w:marLeft w:val="0"/>
                                                  <w:marRight w:val="0"/>
                                                  <w:marTop w:val="0"/>
                                                  <w:marBottom w:val="0"/>
                                                  <w:divBdr>
                                                    <w:top w:val="none" w:sz="0" w:space="0" w:color="auto"/>
                                                    <w:left w:val="none" w:sz="0" w:space="0" w:color="auto"/>
                                                    <w:bottom w:val="none" w:sz="0" w:space="0" w:color="auto"/>
                                                    <w:right w:val="none" w:sz="0" w:space="0" w:color="auto"/>
                                                  </w:divBdr>
                                                  <w:divsChild>
                                                    <w:div w:id="2022389600">
                                                      <w:marLeft w:val="0"/>
                                                      <w:marRight w:val="0"/>
                                                      <w:marTop w:val="0"/>
                                                      <w:marBottom w:val="0"/>
                                                      <w:divBdr>
                                                        <w:top w:val="none" w:sz="0" w:space="0" w:color="auto"/>
                                                        <w:left w:val="none" w:sz="0" w:space="0" w:color="auto"/>
                                                        <w:bottom w:val="none" w:sz="0" w:space="0" w:color="auto"/>
                                                        <w:right w:val="none" w:sz="0" w:space="0" w:color="auto"/>
                                                      </w:divBdr>
                                                      <w:divsChild>
                                                        <w:div w:id="821853736">
                                                          <w:marLeft w:val="0"/>
                                                          <w:marRight w:val="0"/>
                                                          <w:marTop w:val="0"/>
                                                          <w:marBottom w:val="0"/>
                                                          <w:divBdr>
                                                            <w:top w:val="none" w:sz="0" w:space="0" w:color="auto"/>
                                                            <w:left w:val="none" w:sz="0" w:space="0" w:color="auto"/>
                                                            <w:bottom w:val="none" w:sz="0" w:space="0" w:color="auto"/>
                                                            <w:right w:val="none" w:sz="0" w:space="0" w:color="auto"/>
                                                          </w:divBdr>
                                                          <w:divsChild>
                                                            <w:div w:id="5404845">
                                                              <w:marLeft w:val="0"/>
                                                              <w:marRight w:val="0"/>
                                                              <w:marTop w:val="0"/>
                                                              <w:marBottom w:val="0"/>
                                                              <w:divBdr>
                                                                <w:top w:val="none" w:sz="0" w:space="0" w:color="auto"/>
                                                                <w:left w:val="none" w:sz="0" w:space="0" w:color="auto"/>
                                                                <w:bottom w:val="none" w:sz="0" w:space="0" w:color="auto"/>
                                                                <w:right w:val="none" w:sz="0" w:space="0" w:color="auto"/>
                                                              </w:divBdr>
                                                              <w:divsChild>
                                                                <w:div w:id="1954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News('3',145168);" TargetMode="External"/><Relationship Id="rId13" Type="http://schemas.openxmlformats.org/officeDocument/2006/relationships/hyperlink" Target="javascript:showNews('3',145168);" TargetMode="External"/><Relationship Id="rId18" Type="http://schemas.openxmlformats.org/officeDocument/2006/relationships/hyperlink" Target="javascript:showNews('3',145168);" TargetMode="Externa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hyperlink" Target="https://tec-marica3.com/?act=show_page&amp;category_id=11" TargetMode="External"/><Relationship Id="rId12" Type="http://schemas.openxmlformats.org/officeDocument/2006/relationships/hyperlink" Target="javascript:showNews('3',145168);" TargetMode="External"/><Relationship Id="rId17" Type="http://schemas.openxmlformats.org/officeDocument/2006/relationships/hyperlink" Target="javascript:showNews('3',145168);" TargetMode="External"/><Relationship Id="rId2" Type="http://schemas.openxmlformats.org/officeDocument/2006/relationships/styles" Target="styles.xml"/><Relationship Id="rId16" Type="http://schemas.openxmlformats.org/officeDocument/2006/relationships/hyperlink" Target="javascript:showNews('3',145168);"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x3news.com/?page=News&amp;uniqid=61d84ebea9ccc" TargetMode="External"/><Relationship Id="rId11" Type="http://schemas.openxmlformats.org/officeDocument/2006/relationships/hyperlink" Target="javascript:showNews('3',1451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howNews('3',145168);" TargetMode="External"/><Relationship Id="rId23" Type="http://schemas.openxmlformats.org/officeDocument/2006/relationships/fontTable" Target="fontTable.xml"/><Relationship Id="rId10" Type="http://schemas.openxmlformats.org/officeDocument/2006/relationships/hyperlink" Target="javascript:showNews('3',145168);" TargetMode="External"/><Relationship Id="rId19" Type="http://schemas.openxmlformats.org/officeDocument/2006/relationships/hyperlink" Target="javascript:showNews('3',145168);" TargetMode="External"/><Relationship Id="rId4" Type="http://schemas.openxmlformats.org/officeDocument/2006/relationships/settings" Target="settings.xml"/><Relationship Id="rId9" Type="http://schemas.openxmlformats.org/officeDocument/2006/relationships/hyperlink" Target="javascript:showNews('3',145168);" TargetMode="External"/><Relationship Id="rId14" Type="http://schemas.openxmlformats.org/officeDocument/2006/relationships/hyperlink" Target="javascript:showNews('3',145168);" TargetMode="External"/><Relationship Id="rId22" Type="http://schemas.openxmlformats.org/officeDocument/2006/relationships/image" Target="media/image3.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22</Pages>
  <Words>8570</Words>
  <Characters>48852</Characters>
  <Application>Microsoft Office Word</Application>
  <DocSecurity>0</DocSecurity>
  <Lines>407</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Rumi</cp:lastModifiedBy>
  <cp:revision>94</cp:revision>
  <cp:lastPrinted>2022-01-31T15:42:00Z</cp:lastPrinted>
  <dcterms:created xsi:type="dcterms:W3CDTF">2021-02-05T10:30:00Z</dcterms:created>
  <dcterms:modified xsi:type="dcterms:W3CDTF">2022-03-01T11:13:00Z</dcterms:modified>
</cp:coreProperties>
</file>